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954" w:rsidRDefault="00C52954" w:rsidP="00C52954">
      <w:pPr>
        <w:pStyle w:val="Header"/>
        <w:tabs>
          <w:tab w:val="clear" w:pos="4680"/>
          <w:tab w:val="clear" w:pos="9360"/>
          <w:tab w:val="right" w:pos="9720"/>
        </w:tabs>
        <w:ind w:left="1170"/>
        <w:rPr>
          <w:b/>
          <w:sz w:val="28"/>
          <w:szCs w:val="28"/>
        </w:rPr>
      </w:pPr>
    </w:p>
    <w:p w:rsidR="00C52954" w:rsidRDefault="00C52954" w:rsidP="00C52954">
      <w:pPr>
        <w:pStyle w:val="Header"/>
        <w:tabs>
          <w:tab w:val="clear" w:pos="4680"/>
          <w:tab w:val="clear" w:pos="9360"/>
          <w:tab w:val="right" w:pos="9720"/>
        </w:tabs>
        <w:ind w:left="1170"/>
      </w:pPr>
      <w:r>
        <w:rPr>
          <w:b/>
          <w:sz w:val="28"/>
          <w:szCs w:val="28"/>
        </w:rPr>
        <w:t xml:space="preserve">Sir John A. Macdonald Secondary School English and Drama </w:t>
      </w:r>
      <w:r w:rsidRPr="004F480E">
        <w:rPr>
          <w:b/>
          <w:sz w:val="28"/>
          <w:szCs w:val="28"/>
        </w:rPr>
        <w:t>Department</w:t>
      </w:r>
    </w:p>
    <w:p w:rsidR="00C52954" w:rsidRPr="007F364D" w:rsidRDefault="00C52954" w:rsidP="00C52954">
      <w:pPr>
        <w:pStyle w:val="Title"/>
        <w:pBdr>
          <w:bottom w:val="single" w:sz="12" w:space="1" w:color="4F81BD"/>
        </w:pBdr>
        <w:tabs>
          <w:tab w:val="right" w:pos="8603"/>
        </w:tabs>
        <w:rPr>
          <w:sz w:val="44"/>
          <w:szCs w:val="44"/>
        </w:rPr>
      </w:pPr>
      <w:r>
        <w:rPr>
          <w:noProof/>
          <w:lang w:eastAsia="en-CA"/>
        </w:rPr>
        <w:drawing>
          <wp:anchor distT="0" distB="0" distL="114300" distR="114300" simplePos="0" relativeHeight="251659264" behindDoc="1" locked="0" layoutInCell="1" allowOverlap="1" wp14:anchorId="54BA0B66" wp14:editId="0054312F">
            <wp:simplePos x="0" y="0"/>
            <wp:positionH relativeFrom="column">
              <wp:posOffset>14605</wp:posOffset>
            </wp:positionH>
            <wp:positionV relativeFrom="paragraph">
              <wp:posOffset>-198120</wp:posOffset>
            </wp:positionV>
            <wp:extent cx="598170" cy="685800"/>
            <wp:effectExtent l="0" t="0" r="0" b="0"/>
            <wp:wrapTight wrapText="bothSides">
              <wp:wrapPolygon edited="0">
                <wp:start x="0" y="0"/>
                <wp:lineTo x="0" y="21000"/>
                <wp:lineTo x="20637" y="21000"/>
                <wp:lineTo x="20637"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170" cy="685800"/>
                    </a:xfrm>
                    <a:prstGeom prst="rect">
                      <a:avLst/>
                    </a:prstGeom>
                    <a:noFill/>
                  </pic:spPr>
                </pic:pic>
              </a:graphicData>
            </a:graphic>
            <wp14:sizeRelH relativeFrom="page">
              <wp14:pctWidth>0</wp14:pctWidth>
            </wp14:sizeRelH>
            <wp14:sizeRelV relativeFrom="page">
              <wp14:pctHeight>0</wp14:pctHeight>
            </wp14:sizeRelV>
          </wp:anchor>
        </w:drawing>
      </w:r>
      <w:r w:rsidRPr="007F364D">
        <w:rPr>
          <w:sz w:val="44"/>
          <w:szCs w:val="44"/>
        </w:rPr>
        <w:t xml:space="preserve">Grade </w:t>
      </w:r>
      <w:r>
        <w:rPr>
          <w:sz w:val="44"/>
          <w:szCs w:val="44"/>
        </w:rPr>
        <w:t>11 Drama</w:t>
      </w:r>
      <w:r w:rsidRPr="007F364D">
        <w:rPr>
          <w:sz w:val="44"/>
          <w:szCs w:val="44"/>
        </w:rPr>
        <w:tab/>
      </w:r>
    </w:p>
    <w:p w:rsidR="00C52954" w:rsidRDefault="00C52954" w:rsidP="00C52954">
      <w:pPr>
        <w:pStyle w:val="Heading1"/>
      </w:pPr>
      <w:r>
        <w:t>Course Description</w:t>
      </w:r>
    </w:p>
    <w:p w:rsidR="00C52954" w:rsidRDefault="00C52954" w:rsidP="00C52954">
      <w:r>
        <w:t xml:space="preserve">This course provides opportunities for students to explore dramatic forms, conventions, and techniques. Students will explore a variety of dramatic sources from a various cultures and representing a range of genres. Students will use the elements of drama in creating and communicating through dramatic works. Students will assume responsibility for decisions made in the creative and collaborative processes and will reflect their experiences. </w:t>
      </w:r>
    </w:p>
    <w:p w:rsidR="00C52954" w:rsidRDefault="00C52954" w:rsidP="00C52954">
      <w:pPr>
        <w:pStyle w:val="Heading1"/>
      </w:pPr>
      <w:r>
        <w:t>Identifying Information</w:t>
      </w:r>
    </w:p>
    <w:tbl>
      <w:tblPr>
        <w:tblW w:w="0" w:type="auto"/>
        <w:tblLook w:val="00A0" w:firstRow="1" w:lastRow="0" w:firstColumn="1" w:lastColumn="0" w:noHBand="0" w:noVBand="0"/>
      </w:tblPr>
      <w:tblGrid>
        <w:gridCol w:w="2088"/>
        <w:gridCol w:w="7834"/>
      </w:tblGrid>
      <w:tr w:rsidR="00C52954" w:rsidRPr="000E2E1E" w:rsidTr="0033501D">
        <w:tc>
          <w:tcPr>
            <w:tcW w:w="2088" w:type="dxa"/>
          </w:tcPr>
          <w:p w:rsidR="00C52954" w:rsidRPr="000E2E1E" w:rsidRDefault="00C52954" w:rsidP="0033501D">
            <w:pPr>
              <w:spacing w:after="0" w:line="240" w:lineRule="auto"/>
              <w:jc w:val="right"/>
              <w:rPr>
                <w:b/>
              </w:rPr>
            </w:pPr>
            <w:r w:rsidRPr="000E2E1E">
              <w:rPr>
                <w:b/>
              </w:rPr>
              <w:t>Course Title:</w:t>
            </w:r>
          </w:p>
        </w:tc>
        <w:tc>
          <w:tcPr>
            <w:tcW w:w="7834" w:type="dxa"/>
          </w:tcPr>
          <w:p w:rsidR="00C52954" w:rsidRPr="000E2E1E" w:rsidRDefault="00C52954" w:rsidP="0033501D">
            <w:pPr>
              <w:spacing w:after="0" w:line="240" w:lineRule="auto"/>
            </w:pPr>
            <w:r>
              <w:t>Grade 11 Drama</w:t>
            </w:r>
          </w:p>
        </w:tc>
      </w:tr>
      <w:tr w:rsidR="00C52954" w:rsidRPr="000E2E1E" w:rsidTr="0033501D">
        <w:tc>
          <w:tcPr>
            <w:tcW w:w="2088" w:type="dxa"/>
          </w:tcPr>
          <w:p w:rsidR="00C52954" w:rsidRPr="000E2E1E" w:rsidRDefault="00C52954" w:rsidP="0033501D">
            <w:pPr>
              <w:spacing w:after="0" w:line="240" w:lineRule="auto"/>
              <w:jc w:val="right"/>
              <w:rPr>
                <w:b/>
              </w:rPr>
            </w:pPr>
            <w:r>
              <w:rPr>
                <w:b/>
              </w:rPr>
              <w:t>Course Code</w:t>
            </w:r>
            <w:r w:rsidRPr="000E2E1E">
              <w:rPr>
                <w:b/>
              </w:rPr>
              <w:t>:</w:t>
            </w:r>
          </w:p>
        </w:tc>
        <w:tc>
          <w:tcPr>
            <w:tcW w:w="7834" w:type="dxa"/>
          </w:tcPr>
          <w:p w:rsidR="00C52954" w:rsidRPr="000E2E1E" w:rsidRDefault="00C52954" w:rsidP="0033501D">
            <w:pPr>
              <w:spacing w:after="0" w:line="240" w:lineRule="auto"/>
            </w:pPr>
            <w:r>
              <w:t>ADA 3MI</w:t>
            </w:r>
          </w:p>
        </w:tc>
      </w:tr>
      <w:tr w:rsidR="00C52954" w:rsidRPr="000E2E1E" w:rsidTr="0033501D">
        <w:trPr>
          <w:trHeight w:val="63"/>
        </w:trPr>
        <w:tc>
          <w:tcPr>
            <w:tcW w:w="2088" w:type="dxa"/>
          </w:tcPr>
          <w:p w:rsidR="00C52954" w:rsidRPr="000E2E1E" w:rsidRDefault="00C52954" w:rsidP="0033501D">
            <w:pPr>
              <w:spacing w:after="0" w:line="240" w:lineRule="auto"/>
              <w:jc w:val="right"/>
              <w:rPr>
                <w:b/>
              </w:rPr>
            </w:pPr>
            <w:r w:rsidRPr="000E2E1E">
              <w:rPr>
                <w:b/>
              </w:rPr>
              <w:t>Course Type:</w:t>
            </w:r>
          </w:p>
        </w:tc>
        <w:tc>
          <w:tcPr>
            <w:tcW w:w="7834" w:type="dxa"/>
          </w:tcPr>
          <w:p w:rsidR="00C52954" w:rsidRPr="000E2E1E" w:rsidRDefault="00C52954" w:rsidP="0033501D">
            <w:pPr>
              <w:spacing w:after="0" w:line="240" w:lineRule="auto"/>
            </w:pPr>
            <w:r>
              <w:t>University/College</w:t>
            </w:r>
          </w:p>
        </w:tc>
      </w:tr>
      <w:tr w:rsidR="00C52954" w:rsidRPr="000E2E1E" w:rsidTr="0033501D">
        <w:tc>
          <w:tcPr>
            <w:tcW w:w="2088" w:type="dxa"/>
          </w:tcPr>
          <w:p w:rsidR="00C52954" w:rsidRPr="000E2E1E" w:rsidRDefault="00C52954" w:rsidP="0033501D">
            <w:pPr>
              <w:spacing w:after="0" w:line="240" w:lineRule="auto"/>
              <w:jc w:val="right"/>
              <w:rPr>
                <w:b/>
              </w:rPr>
            </w:pPr>
            <w:r>
              <w:rPr>
                <w:b/>
              </w:rPr>
              <w:t>Grade</w:t>
            </w:r>
            <w:r w:rsidRPr="000E2E1E">
              <w:rPr>
                <w:b/>
              </w:rPr>
              <w:t>:</w:t>
            </w:r>
          </w:p>
        </w:tc>
        <w:tc>
          <w:tcPr>
            <w:tcW w:w="7834" w:type="dxa"/>
          </w:tcPr>
          <w:p w:rsidR="00C52954" w:rsidRPr="000E2E1E" w:rsidRDefault="00C52954" w:rsidP="0033501D">
            <w:pPr>
              <w:spacing w:after="0" w:line="240" w:lineRule="auto"/>
            </w:pPr>
            <w:r>
              <w:t>11</w:t>
            </w:r>
          </w:p>
        </w:tc>
      </w:tr>
      <w:tr w:rsidR="00C52954" w:rsidRPr="000E2E1E" w:rsidTr="0033501D">
        <w:tc>
          <w:tcPr>
            <w:tcW w:w="2088" w:type="dxa"/>
          </w:tcPr>
          <w:p w:rsidR="00C52954" w:rsidRPr="000E2E1E" w:rsidRDefault="00C52954" w:rsidP="0033501D">
            <w:pPr>
              <w:spacing w:after="0" w:line="240" w:lineRule="auto"/>
              <w:jc w:val="right"/>
              <w:rPr>
                <w:b/>
              </w:rPr>
            </w:pPr>
            <w:r w:rsidRPr="000E2E1E">
              <w:rPr>
                <w:b/>
              </w:rPr>
              <w:t>Credit Value:</w:t>
            </w:r>
          </w:p>
        </w:tc>
        <w:tc>
          <w:tcPr>
            <w:tcW w:w="7834" w:type="dxa"/>
          </w:tcPr>
          <w:p w:rsidR="00C52954" w:rsidRPr="000E2E1E" w:rsidRDefault="00C52954" w:rsidP="0033501D">
            <w:pPr>
              <w:spacing w:after="0" w:line="240" w:lineRule="auto"/>
            </w:pPr>
            <w:r w:rsidRPr="000E2E1E">
              <w:t>1</w:t>
            </w:r>
          </w:p>
        </w:tc>
      </w:tr>
      <w:tr w:rsidR="00C52954" w:rsidRPr="000E2E1E" w:rsidTr="0033501D">
        <w:tc>
          <w:tcPr>
            <w:tcW w:w="2088" w:type="dxa"/>
          </w:tcPr>
          <w:p w:rsidR="00C52954" w:rsidRPr="000E2E1E" w:rsidRDefault="00C52954" w:rsidP="0033501D">
            <w:pPr>
              <w:spacing w:after="0" w:line="240" w:lineRule="auto"/>
              <w:jc w:val="right"/>
              <w:rPr>
                <w:b/>
              </w:rPr>
            </w:pPr>
            <w:r w:rsidRPr="000E2E1E">
              <w:rPr>
                <w:b/>
              </w:rPr>
              <w:t>Ministry Document:</w:t>
            </w:r>
          </w:p>
        </w:tc>
        <w:tc>
          <w:tcPr>
            <w:tcW w:w="7834" w:type="dxa"/>
          </w:tcPr>
          <w:p w:rsidR="00C52954" w:rsidRPr="000E2E1E" w:rsidRDefault="00C52954" w:rsidP="0033501D">
            <w:pPr>
              <w:spacing w:after="0" w:line="240" w:lineRule="auto"/>
            </w:pPr>
            <w:r w:rsidRPr="000E2E1E">
              <w:t xml:space="preserve">The Ontario Curriculum, Grades </w:t>
            </w:r>
            <w:r>
              <w:t>11 and 12: The Arts</w:t>
            </w:r>
            <w:r w:rsidRPr="000E2E1E">
              <w:t>,</w:t>
            </w:r>
            <w:r>
              <w:t xml:space="preserve"> 2010</w:t>
            </w:r>
            <w:r w:rsidRPr="000E2E1E">
              <w:t>, Revised</w:t>
            </w:r>
          </w:p>
          <w:p w:rsidR="00C52954" w:rsidRPr="002F6DE9" w:rsidRDefault="00C52954" w:rsidP="0033501D">
            <w:pPr>
              <w:spacing w:after="0" w:line="240" w:lineRule="auto"/>
            </w:pPr>
            <w:r>
              <w:rPr>
                <w:rFonts w:ascii="Arial" w:hAnsi="Arial" w:cs="Arial"/>
                <w:color w:val="006621"/>
                <w:sz w:val="21"/>
                <w:szCs w:val="21"/>
                <w:shd w:val="clear" w:color="auto" w:fill="FFFFFF"/>
              </w:rPr>
              <w:t>www.edu.gov.on.ca/eng/</w:t>
            </w:r>
            <w:r>
              <w:rPr>
                <w:rFonts w:ascii="Arial" w:hAnsi="Arial" w:cs="Arial"/>
                <w:b/>
                <w:bCs/>
                <w:color w:val="006621"/>
                <w:sz w:val="21"/>
                <w:szCs w:val="21"/>
                <w:shd w:val="clear" w:color="auto" w:fill="FFFFFF"/>
              </w:rPr>
              <w:t>curriculum</w:t>
            </w:r>
            <w:r>
              <w:rPr>
                <w:rFonts w:ascii="Arial" w:hAnsi="Arial" w:cs="Arial"/>
                <w:color w:val="006621"/>
                <w:sz w:val="21"/>
                <w:szCs w:val="21"/>
                <w:shd w:val="clear" w:color="auto" w:fill="FFFFFF"/>
              </w:rPr>
              <w:t>/secondary/</w:t>
            </w:r>
            <w:r>
              <w:rPr>
                <w:rFonts w:ascii="Arial" w:hAnsi="Arial" w:cs="Arial"/>
                <w:b/>
                <w:bCs/>
                <w:color w:val="006621"/>
                <w:sz w:val="21"/>
                <w:szCs w:val="21"/>
                <w:shd w:val="clear" w:color="auto" w:fill="FFFFFF"/>
              </w:rPr>
              <w:t>arts1112</w:t>
            </w:r>
            <w:r>
              <w:rPr>
                <w:rFonts w:ascii="Arial" w:hAnsi="Arial" w:cs="Arial"/>
                <w:color w:val="006621"/>
                <w:sz w:val="21"/>
                <w:szCs w:val="21"/>
                <w:shd w:val="clear" w:color="auto" w:fill="FFFFFF"/>
              </w:rPr>
              <w:t>curr2010.pdf</w:t>
            </w:r>
          </w:p>
        </w:tc>
      </w:tr>
      <w:tr w:rsidR="00C52954" w:rsidRPr="000E2E1E" w:rsidTr="0033501D">
        <w:tc>
          <w:tcPr>
            <w:tcW w:w="2088" w:type="dxa"/>
          </w:tcPr>
          <w:p w:rsidR="00C52954" w:rsidRPr="000E2E1E" w:rsidRDefault="00C52954" w:rsidP="0033501D">
            <w:pPr>
              <w:spacing w:after="0" w:line="240" w:lineRule="auto"/>
              <w:jc w:val="right"/>
              <w:rPr>
                <w:b/>
              </w:rPr>
            </w:pPr>
            <w:r>
              <w:rPr>
                <w:b/>
              </w:rPr>
              <w:t>Textbook:</w:t>
            </w:r>
          </w:p>
        </w:tc>
        <w:tc>
          <w:tcPr>
            <w:tcW w:w="7834" w:type="dxa"/>
          </w:tcPr>
          <w:p w:rsidR="00C52954" w:rsidRPr="000E2E1E" w:rsidRDefault="00C52954" w:rsidP="0033501D">
            <w:pPr>
              <w:spacing w:after="0" w:line="240" w:lineRule="auto"/>
            </w:pPr>
            <w:r>
              <w:t>Drama Basics</w:t>
            </w:r>
          </w:p>
        </w:tc>
      </w:tr>
    </w:tbl>
    <w:p w:rsidR="00C52954" w:rsidRDefault="00C52954" w:rsidP="00C52954">
      <w:pPr>
        <w:pStyle w:val="Heading1"/>
      </w:pPr>
      <w:r>
        <w:t>Course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9270"/>
      </w:tblGrid>
      <w:tr w:rsidR="00C52954" w:rsidRPr="000E2E1E" w:rsidTr="0033501D">
        <w:tc>
          <w:tcPr>
            <w:tcW w:w="648" w:type="dxa"/>
          </w:tcPr>
          <w:p w:rsidR="00C52954" w:rsidRPr="000E2E1E" w:rsidRDefault="00C52954" w:rsidP="0033501D">
            <w:pPr>
              <w:spacing w:after="0" w:line="240" w:lineRule="auto"/>
              <w:rPr>
                <w:b/>
              </w:rPr>
            </w:pPr>
            <w:r>
              <w:rPr>
                <w:b/>
              </w:rPr>
              <w:t>Unit</w:t>
            </w:r>
          </w:p>
        </w:tc>
        <w:tc>
          <w:tcPr>
            <w:tcW w:w="9270" w:type="dxa"/>
          </w:tcPr>
          <w:p w:rsidR="00C52954" w:rsidRPr="000E2E1E" w:rsidRDefault="00C52954" w:rsidP="0033501D">
            <w:pPr>
              <w:spacing w:after="0" w:line="240" w:lineRule="auto"/>
              <w:rPr>
                <w:b/>
              </w:rPr>
            </w:pPr>
            <w:r>
              <w:rPr>
                <w:b/>
              </w:rPr>
              <w:t>Description</w:t>
            </w:r>
            <w:r w:rsidRPr="000E2E1E">
              <w:rPr>
                <w:b/>
              </w:rPr>
              <w:t xml:space="preserve"> - Weight (70%)</w:t>
            </w:r>
          </w:p>
        </w:tc>
      </w:tr>
      <w:tr w:rsidR="00C52954" w:rsidRPr="000E2E1E" w:rsidTr="0033501D">
        <w:tc>
          <w:tcPr>
            <w:tcW w:w="648" w:type="dxa"/>
          </w:tcPr>
          <w:p w:rsidR="00C52954" w:rsidRPr="000E2E1E" w:rsidRDefault="00C52954" w:rsidP="0033501D">
            <w:pPr>
              <w:spacing w:after="0" w:line="240" w:lineRule="auto"/>
              <w:jc w:val="center"/>
              <w:rPr>
                <w:b/>
              </w:rPr>
            </w:pPr>
            <w:r w:rsidRPr="000E2E1E">
              <w:rPr>
                <w:b/>
              </w:rPr>
              <w:t>1</w:t>
            </w:r>
          </w:p>
        </w:tc>
        <w:tc>
          <w:tcPr>
            <w:tcW w:w="9270" w:type="dxa"/>
          </w:tcPr>
          <w:p w:rsidR="00C52954" w:rsidRPr="000E2E1E" w:rsidRDefault="00C52954" w:rsidP="0033501D">
            <w:pPr>
              <w:spacing w:after="0" w:line="240" w:lineRule="auto"/>
              <w:rPr>
                <w:b/>
              </w:rPr>
            </w:pPr>
            <w:r>
              <w:rPr>
                <w:b/>
              </w:rPr>
              <w:t>Ensemble Creation</w:t>
            </w:r>
          </w:p>
          <w:p w:rsidR="00C52954" w:rsidRPr="000E2E1E" w:rsidRDefault="00C52954" w:rsidP="0033501D">
            <w:pPr>
              <w:pStyle w:val="ListParagraph"/>
              <w:numPr>
                <w:ilvl w:val="0"/>
                <w:numId w:val="1"/>
              </w:numPr>
              <w:spacing w:after="0" w:line="240" w:lineRule="auto"/>
            </w:pPr>
            <w:r>
              <w:t xml:space="preserve">Students will create radio dramas incorporating the elements of ensemble and vocal techniques </w:t>
            </w:r>
          </w:p>
        </w:tc>
      </w:tr>
      <w:tr w:rsidR="00C52954" w:rsidRPr="000E2E1E" w:rsidTr="0033501D">
        <w:tc>
          <w:tcPr>
            <w:tcW w:w="648" w:type="dxa"/>
          </w:tcPr>
          <w:p w:rsidR="00C52954" w:rsidRPr="000E2E1E" w:rsidRDefault="00C52954" w:rsidP="0033501D">
            <w:pPr>
              <w:spacing w:after="0" w:line="240" w:lineRule="auto"/>
              <w:jc w:val="center"/>
              <w:rPr>
                <w:b/>
              </w:rPr>
            </w:pPr>
            <w:r w:rsidRPr="000E2E1E">
              <w:rPr>
                <w:b/>
              </w:rPr>
              <w:t>2</w:t>
            </w:r>
          </w:p>
        </w:tc>
        <w:tc>
          <w:tcPr>
            <w:tcW w:w="9270" w:type="dxa"/>
          </w:tcPr>
          <w:p w:rsidR="00C52954" w:rsidRPr="000E2E1E" w:rsidRDefault="00C52954" w:rsidP="0033501D">
            <w:pPr>
              <w:spacing w:after="0" w:line="240" w:lineRule="auto"/>
              <w:rPr>
                <w:b/>
              </w:rPr>
            </w:pPr>
            <w:r>
              <w:rPr>
                <w:b/>
              </w:rPr>
              <w:t>Dramatic Movement</w:t>
            </w:r>
          </w:p>
          <w:p w:rsidR="00C52954" w:rsidRPr="000E2E1E" w:rsidRDefault="00C52954" w:rsidP="00C52954">
            <w:pPr>
              <w:pStyle w:val="ListParagraph"/>
              <w:numPr>
                <w:ilvl w:val="0"/>
                <w:numId w:val="1"/>
              </w:numPr>
              <w:spacing w:after="0" w:line="240" w:lineRule="auto"/>
            </w:pPr>
            <w:r>
              <w:t>Research unit combining major theorists of movement and stage with principles and original creation.</w:t>
            </w:r>
          </w:p>
        </w:tc>
      </w:tr>
      <w:tr w:rsidR="00C52954" w:rsidRPr="000E2E1E" w:rsidTr="0033501D">
        <w:tc>
          <w:tcPr>
            <w:tcW w:w="648" w:type="dxa"/>
          </w:tcPr>
          <w:p w:rsidR="00C52954" w:rsidRPr="000E2E1E" w:rsidRDefault="00C52954" w:rsidP="0033501D">
            <w:pPr>
              <w:spacing w:after="0" w:line="240" w:lineRule="auto"/>
              <w:jc w:val="center"/>
              <w:rPr>
                <w:b/>
              </w:rPr>
            </w:pPr>
            <w:r w:rsidRPr="000E2E1E">
              <w:rPr>
                <w:b/>
              </w:rPr>
              <w:t>3</w:t>
            </w:r>
          </w:p>
        </w:tc>
        <w:tc>
          <w:tcPr>
            <w:tcW w:w="9270" w:type="dxa"/>
          </w:tcPr>
          <w:p w:rsidR="00C52954" w:rsidRPr="000E2E1E" w:rsidRDefault="00C52954" w:rsidP="0033501D">
            <w:pPr>
              <w:spacing w:after="0" w:line="240" w:lineRule="auto"/>
              <w:rPr>
                <w:b/>
              </w:rPr>
            </w:pPr>
            <w:r>
              <w:rPr>
                <w:b/>
              </w:rPr>
              <w:t>Beyond the Self Monologues</w:t>
            </w:r>
          </w:p>
          <w:p w:rsidR="00C52954" w:rsidRPr="000E2E1E" w:rsidRDefault="00C52954" w:rsidP="00C52954">
            <w:pPr>
              <w:pStyle w:val="ListParagraph"/>
              <w:numPr>
                <w:ilvl w:val="0"/>
                <w:numId w:val="1"/>
              </w:numPr>
              <w:spacing w:after="0" w:line="240" w:lineRule="auto"/>
            </w:pPr>
            <w:r>
              <w:t>Monologue development techniques demonstrated through varied sources.   Students will create an original character and develop a monologue performance in character.</w:t>
            </w:r>
          </w:p>
        </w:tc>
      </w:tr>
      <w:tr w:rsidR="00C52954" w:rsidRPr="000E2E1E" w:rsidTr="0033501D">
        <w:tc>
          <w:tcPr>
            <w:tcW w:w="648" w:type="dxa"/>
          </w:tcPr>
          <w:p w:rsidR="00C52954" w:rsidRPr="000E2E1E" w:rsidRDefault="00C52954" w:rsidP="0033501D">
            <w:pPr>
              <w:spacing w:after="0" w:line="240" w:lineRule="auto"/>
              <w:jc w:val="center"/>
              <w:rPr>
                <w:b/>
              </w:rPr>
            </w:pPr>
            <w:r w:rsidRPr="000E2E1E">
              <w:rPr>
                <w:b/>
              </w:rPr>
              <w:t>4</w:t>
            </w:r>
          </w:p>
        </w:tc>
        <w:tc>
          <w:tcPr>
            <w:tcW w:w="9270" w:type="dxa"/>
          </w:tcPr>
          <w:p w:rsidR="00C52954" w:rsidRPr="000E2E1E" w:rsidRDefault="00C52954" w:rsidP="0033501D">
            <w:pPr>
              <w:spacing w:after="0" w:line="240" w:lineRule="auto"/>
              <w:rPr>
                <w:b/>
              </w:rPr>
            </w:pPr>
            <w:r>
              <w:rPr>
                <w:b/>
              </w:rPr>
              <w:t>Modern Theatre</w:t>
            </w:r>
          </w:p>
          <w:p w:rsidR="00C52954" w:rsidRPr="000E2E1E" w:rsidRDefault="00C52954" w:rsidP="0033501D">
            <w:pPr>
              <w:pStyle w:val="ListParagraph"/>
              <w:numPr>
                <w:ilvl w:val="0"/>
                <w:numId w:val="1"/>
              </w:numPr>
              <w:spacing w:after="0" w:line="240" w:lineRule="auto"/>
            </w:pPr>
            <w:r>
              <w:t>Historical and cultural and political theatre movements combine in seminar and scene study performance.</w:t>
            </w:r>
            <w:r w:rsidRPr="000E2E1E">
              <w:t xml:space="preserve"> </w:t>
            </w:r>
            <w:r>
              <w:t xml:space="preserve">  Independent study will comprise part of this unit.  Students will study a full book play </w:t>
            </w:r>
            <w:r>
              <w:rPr>
                <w:i/>
              </w:rPr>
              <w:t>The Laramie Project</w:t>
            </w:r>
            <w:r>
              <w:t xml:space="preserve"> and perform scene studies during this unit.</w:t>
            </w:r>
          </w:p>
        </w:tc>
      </w:tr>
      <w:tr w:rsidR="00C52954" w:rsidRPr="000E2E1E" w:rsidTr="0033501D">
        <w:tc>
          <w:tcPr>
            <w:tcW w:w="648" w:type="dxa"/>
          </w:tcPr>
          <w:p w:rsidR="00C52954" w:rsidRPr="000E2E1E" w:rsidRDefault="00C52954" w:rsidP="0033501D">
            <w:pPr>
              <w:spacing w:after="0" w:line="240" w:lineRule="auto"/>
              <w:jc w:val="center"/>
              <w:rPr>
                <w:b/>
              </w:rPr>
            </w:pPr>
            <w:r>
              <w:rPr>
                <w:b/>
              </w:rPr>
              <w:t>5</w:t>
            </w:r>
          </w:p>
        </w:tc>
        <w:tc>
          <w:tcPr>
            <w:tcW w:w="9270" w:type="dxa"/>
          </w:tcPr>
          <w:p w:rsidR="00C52954" w:rsidRDefault="00C52954" w:rsidP="0033501D">
            <w:pPr>
              <w:spacing w:after="0" w:line="240" w:lineRule="auto"/>
              <w:rPr>
                <w:b/>
              </w:rPr>
            </w:pPr>
            <w:r>
              <w:rPr>
                <w:b/>
              </w:rPr>
              <w:t>Shaping Themes into a Theatrical Style</w:t>
            </w:r>
          </w:p>
          <w:p w:rsidR="00C52954" w:rsidRPr="00B76749" w:rsidRDefault="00800961" w:rsidP="0033501D">
            <w:pPr>
              <w:pStyle w:val="ListParagraph"/>
              <w:numPr>
                <w:ilvl w:val="0"/>
                <w:numId w:val="1"/>
              </w:numPr>
              <w:spacing w:after="0" w:line="240" w:lineRule="auto"/>
            </w:pPr>
            <w:r>
              <w:t>Based on units 2 and 4,</w:t>
            </w:r>
            <w:r w:rsidR="00C52954">
              <w:t xml:space="preserve"> groups create </w:t>
            </w:r>
            <w:r>
              <w:t xml:space="preserve">an </w:t>
            </w:r>
            <w:r w:rsidR="00C52954">
              <w:t>original production in a theatrical style studied.</w:t>
            </w:r>
          </w:p>
        </w:tc>
      </w:tr>
      <w:tr w:rsidR="00C52954" w:rsidRPr="000E2E1E" w:rsidTr="0033501D">
        <w:tc>
          <w:tcPr>
            <w:tcW w:w="648" w:type="dxa"/>
            <w:tcBorders>
              <w:bottom w:val="single" w:sz="12" w:space="0" w:color="auto"/>
            </w:tcBorders>
          </w:tcPr>
          <w:p w:rsidR="00C52954" w:rsidRPr="000E2E1E" w:rsidRDefault="00C52954" w:rsidP="0033501D">
            <w:pPr>
              <w:spacing w:after="0" w:line="240" w:lineRule="auto"/>
              <w:jc w:val="center"/>
              <w:rPr>
                <w:b/>
              </w:rPr>
            </w:pPr>
            <w:r>
              <w:rPr>
                <w:b/>
              </w:rPr>
              <w:t>6</w:t>
            </w:r>
          </w:p>
        </w:tc>
        <w:tc>
          <w:tcPr>
            <w:tcW w:w="9270" w:type="dxa"/>
            <w:tcBorders>
              <w:bottom w:val="single" w:sz="12" w:space="0" w:color="auto"/>
            </w:tcBorders>
          </w:tcPr>
          <w:p w:rsidR="00C52954" w:rsidRPr="000E2E1E" w:rsidRDefault="00C52954" w:rsidP="0033501D">
            <w:pPr>
              <w:spacing w:after="0" w:line="240" w:lineRule="auto"/>
              <w:rPr>
                <w:b/>
              </w:rPr>
            </w:pPr>
            <w:r>
              <w:rPr>
                <w:b/>
              </w:rPr>
              <w:t>Performance Criticism</w:t>
            </w:r>
          </w:p>
          <w:p w:rsidR="00C52954" w:rsidRPr="000E2E1E" w:rsidRDefault="00C52954" w:rsidP="0033501D">
            <w:pPr>
              <w:pStyle w:val="ListParagraph"/>
              <w:numPr>
                <w:ilvl w:val="0"/>
                <w:numId w:val="1"/>
              </w:numPr>
              <w:spacing w:after="0" w:line="240" w:lineRule="auto"/>
            </w:pPr>
            <w:r>
              <w:t>Utilizing theatre appreciation and criticism to review two live performances.</w:t>
            </w:r>
          </w:p>
        </w:tc>
      </w:tr>
      <w:tr w:rsidR="00C52954" w:rsidRPr="000E2E1E" w:rsidTr="0033501D">
        <w:tc>
          <w:tcPr>
            <w:tcW w:w="648" w:type="dxa"/>
            <w:tcBorders>
              <w:top w:val="single" w:sz="12" w:space="0" w:color="auto"/>
            </w:tcBorders>
          </w:tcPr>
          <w:p w:rsidR="00C52954" w:rsidRPr="000E2E1E" w:rsidRDefault="00C52954" w:rsidP="0033501D">
            <w:pPr>
              <w:spacing w:after="0" w:line="240" w:lineRule="auto"/>
              <w:jc w:val="center"/>
              <w:rPr>
                <w:b/>
              </w:rPr>
            </w:pPr>
          </w:p>
        </w:tc>
        <w:tc>
          <w:tcPr>
            <w:tcW w:w="9270" w:type="dxa"/>
            <w:tcBorders>
              <w:top w:val="single" w:sz="12" w:space="0" w:color="auto"/>
            </w:tcBorders>
          </w:tcPr>
          <w:p w:rsidR="00C52954" w:rsidRPr="000E2E1E" w:rsidRDefault="00800961" w:rsidP="0033501D">
            <w:pPr>
              <w:spacing w:after="0" w:line="240" w:lineRule="auto"/>
              <w:rPr>
                <w:b/>
              </w:rPr>
            </w:pPr>
            <w:r>
              <w:rPr>
                <w:b/>
              </w:rPr>
              <w:t xml:space="preserve">Drama in the Community - </w:t>
            </w:r>
            <w:bookmarkStart w:id="0" w:name="_GoBack"/>
            <w:bookmarkEnd w:id="0"/>
            <w:r w:rsidR="00C52954" w:rsidRPr="000E2E1E">
              <w:rPr>
                <w:b/>
              </w:rPr>
              <w:t>Summative Project</w:t>
            </w:r>
            <w:r w:rsidR="00C52954">
              <w:rPr>
                <w:b/>
              </w:rPr>
              <w:t xml:space="preserve"> Performance/Portfolio</w:t>
            </w:r>
            <w:r w:rsidR="00C52954" w:rsidRPr="000E2E1E">
              <w:rPr>
                <w:b/>
              </w:rPr>
              <w:t xml:space="preserve"> (30%)</w:t>
            </w:r>
          </w:p>
          <w:p w:rsidR="00C52954" w:rsidRDefault="00C52954" w:rsidP="0033501D">
            <w:pPr>
              <w:pStyle w:val="ListParagraph"/>
              <w:numPr>
                <w:ilvl w:val="0"/>
                <w:numId w:val="1"/>
              </w:numPr>
              <w:spacing w:after="0" w:line="240" w:lineRule="auto"/>
            </w:pPr>
            <w:r>
              <w:t xml:space="preserve">Production Unit: Students will join a theatre company to mount a production evening.  All aspects of the technical, performance and production roles will be shared and students </w:t>
            </w:r>
            <w:r w:rsidR="00800961">
              <w:t>expected to be in attendance for the evening as well as any additional rehearsals scheduled in advance</w:t>
            </w:r>
            <w:r>
              <w:t>.</w:t>
            </w:r>
          </w:p>
          <w:p w:rsidR="00C52954" w:rsidRPr="000E2E1E" w:rsidRDefault="00C52954" w:rsidP="0033501D">
            <w:pPr>
              <w:pStyle w:val="ListParagraph"/>
              <w:numPr>
                <w:ilvl w:val="0"/>
                <w:numId w:val="1"/>
              </w:numPr>
              <w:spacing w:after="0" w:line="240" w:lineRule="auto"/>
            </w:pPr>
            <w:r>
              <w:t xml:space="preserve">Written assignments include work/role diary, rehearsal best practices, final reflection </w:t>
            </w:r>
          </w:p>
        </w:tc>
      </w:tr>
    </w:tbl>
    <w:p w:rsidR="00C52954" w:rsidRDefault="00C52954" w:rsidP="00C52954">
      <w:pPr>
        <w:pStyle w:val="Heading1"/>
      </w:pPr>
      <w:r>
        <w:lastRenderedPageBreak/>
        <w:t>Essential Course Components</w:t>
      </w:r>
    </w:p>
    <w:p w:rsidR="00C52954" w:rsidRDefault="00C52954" w:rsidP="00C52954">
      <w:r>
        <w:t xml:space="preserve">To be successful in this course you </w:t>
      </w:r>
      <w:r w:rsidRPr="00DA150E">
        <w:rPr>
          <w:b/>
          <w:u w:val="single"/>
        </w:rPr>
        <w:t>must</w:t>
      </w:r>
      <w:r>
        <w:t xml:space="preserve"> be able to demonstrate </w:t>
      </w:r>
      <w:r w:rsidRPr="00392A59">
        <w:rPr>
          <w:b/>
          <w:u w:val="single"/>
        </w:rPr>
        <w:t>all</w:t>
      </w:r>
      <w:r>
        <w:t xml:space="preserve"> of the following skills.</w:t>
      </w:r>
    </w:p>
    <w:p w:rsidR="00C52954" w:rsidRDefault="00C52954" w:rsidP="00C52954">
      <w:pPr>
        <w:numPr>
          <w:ilvl w:val="0"/>
          <w:numId w:val="5"/>
        </w:numPr>
        <w:spacing w:after="0" w:line="240" w:lineRule="auto"/>
      </w:pPr>
      <w:r>
        <w:t>A1. The Creative Process: use the creative process and a variety of sources and forms, both individually and collaboratively, to design and develop drama works;</w:t>
      </w:r>
    </w:p>
    <w:p w:rsidR="00C52954" w:rsidRDefault="00C52954" w:rsidP="00C52954">
      <w:pPr>
        <w:numPr>
          <w:ilvl w:val="0"/>
          <w:numId w:val="5"/>
        </w:numPr>
        <w:spacing w:after="0" w:line="240" w:lineRule="auto"/>
      </w:pPr>
      <w:r>
        <w:t>A2. Elements and Conventions: use the elements and conventions of drama effectively in creating</w:t>
      </w:r>
    </w:p>
    <w:p w:rsidR="00C52954" w:rsidRDefault="00C52954" w:rsidP="00C52954">
      <w:pPr>
        <w:spacing w:after="0" w:line="240" w:lineRule="auto"/>
        <w:ind w:left="720"/>
      </w:pPr>
      <w:proofErr w:type="gramStart"/>
      <w:r>
        <w:t>individual</w:t>
      </w:r>
      <w:proofErr w:type="gramEnd"/>
      <w:r>
        <w:t xml:space="preserve"> and ensemble drama works, including works based on a variety of sources;</w:t>
      </w:r>
    </w:p>
    <w:p w:rsidR="00C52954" w:rsidRDefault="00C52954" w:rsidP="00C52954">
      <w:pPr>
        <w:numPr>
          <w:ilvl w:val="0"/>
          <w:numId w:val="5"/>
        </w:numPr>
        <w:spacing w:after="0" w:line="240" w:lineRule="auto"/>
      </w:pPr>
      <w:r>
        <w:t>A3. Presentation Techniques and Technologies: use a variety of presentation techniques and technological tools to enhance the impact of drama works and communicate for specific audiences and purposes.</w:t>
      </w:r>
    </w:p>
    <w:p w:rsidR="00C52954" w:rsidRDefault="00C52954" w:rsidP="00C52954">
      <w:pPr>
        <w:numPr>
          <w:ilvl w:val="0"/>
          <w:numId w:val="5"/>
        </w:numPr>
        <w:spacing w:after="0" w:line="240" w:lineRule="auto"/>
      </w:pPr>
      <w:r>
        <w:t>A3.2 use different acting approaches to explore and depict character in a variety of situations</w:t>
      </w:r>
    </w:p>
    <w:p w:rsidR="00C52954" w:rsidRDefault="00C52954" w:rsidP="00C52954">
      <w:pPr>
        <w:numPr>
          <w:ilvl w:val="0"/>
          <w:numId w:val="5"/>
        </w:numPr>
        <w:spacing w:after="0" w:line="240" w:lineRule="auto"/>
      </w:pPr>
      <w:r>
        <w:t>B1. The Critical Analysis Process: use the critical analysis process to reflect on and evaluate their own and others’ drama works and activities;</w:t>
      </w:r>
    </w:p>
    <w:p w:rsidR="00C52954" w:rsidRDefault="00C52954" w:rsidP="00C52954">
      <w:pPr>
        <w:numPr>
          <w:ilvl w:val="0"/>
          <w:numId w:val="5"/>
        </w:numPr>
        <w:spacing w:after="0" w:line="240" w:lineRule="auto"/>
      </w:pPr>
      <w:r>
        <w:t>B2. Drama and Society: demonstrate an understanding of how societies present and past use or have used drama, and of how creating and viewing drama can benefit individuals, groups, and communities;</w:t>
      </w:r>
    </w:p>
    <w:p w:rsidR="00C52954" w:rsidRDefault="00C52954" w:rsidP="00C52954">
      <w:pPr>
        <w:numPr>
          <w:ilvl w:val="0"/>
          <w:numId w:val="5"/>
        </w:numPr>
        <w:spacing w:after="0" w:line="240" w:lineRule="auto"/>
      </w:pPr>
      <w:r>
        <w:t>B2.1 identify different purposes for drama and the forms used to achieve these purposes in diverse communities and cultures from the</w:t>
      </w:r>
    </w:p>
    <w:p w:rsidR="00C52954" w:rsidRDefault="00C52954" w:rsidP="00C52954">
      <w:pPr>
        <w:numPr>
          <w:ilvl w:val="0"/>
          <w:numId w:val="5"/>
        </w:numPr>
        <w:spacing w:after="0" w:line="240" w:lineRule="auto"/>
      </w:pPr>
      <w:r>
        <w:t>past and present</w:t>
      </w:r>
    </w:p>
    <w:p w:rsidR="00C52954" w:rsidRDefault="00C52954" w:rsidP="00C52954">
      <w:pPr>
        <w:numPr>
          <w:ilvl w:val="0"/>
          <w:numId w:val="5"/>
        </w:numPr>
        <w:spacing w:after="0" w:line="240" w:lineRule="auto"/>
      </w:pPr>
      <w:r>
        <w:t xml:space="preserve">B3. Connections </w:t>
      </w:r>
      <w:proofErr w:type="gramStart"/>
      <w:r>
        <w:t>Beyond</w:t>
      </w:r>
      <w:proofErr w:type="gramEnd"/>
      <w:r>
        <w:t xml:space="preserve"> the Classroom: identify knowledge and skills they have acquired through drama activities and ways in which they can apply this learning in personal, social, and career contexts.</w:t>
      </w:r>
    </w:p>
    <w:p w:rsidR="00C52954" w:rsidRDefault="00C52954" w:rsidP="00C52954">
      <w:pPr>
        <w:numPr>
          <w:ilvl w:val="0"/>
          <w:numId w:val="5"/>
        </w:numPr>
        <w:spacing w:after="0" w:line="240" w:lineRule="auto"/>
      </w:pPr>
      <w:r>
        <w:t>C1. Concepts and Terminology: demonstrate an understanding of the nature and functions of drama forms, elements, conventions, and techniques, including the correct terminology for the various components;</w:t>
      </w:r>
    </w:p>
    <w:p w:rsidR="00C52954" w:rsidRDefault="00C52954" w:rsidP="00C52954">
      <w:pPr>
        <w:numPr>
          <w:ilvl w:val="0"/>
          <w:numId w:val="5"/>
        </w:numPr>
        <w:spacing w:after="0" w:line="240" w:lineRule="auto"/>
      </w:pPr>
      <w:r>
        <w:t>C2. Contexts and Influences: demonstrate an understanding of the origins and development of drama and theatre arts and their influence on past and present societies;</w:t>
      </w:r>
    </w:p>
    <w:p w:rsidR="00C52954" w:rsidRDefault="00C52954" w:rsidP="00C52954">
      <w:pPr>
        <w:numPr>
          <w:ilvl w:val="0"/>
          <w:numId w:val="5"/>
        </w:numPr>
        <w:spacing w:after="0" w:line="240" w:lineRule="auto"/>
      </w:pPr>
      <w:r>
        <w:t>C2.1 demonstrate an understanding of the theatre traditions of a variety of historical periods and cultures</w:t>
      </w:r>
    </w:p>
    <w:p w:rsidR="00C52954" w:rsidRDefault="00C52954" w:rsidP="00C52954">
      <w:pPr>
        <w:numPr>
          <w:ilvl w:val="0"/>
          <w:numId w:val="5"/>
        </w:numPr>
        <w:spacing w:after="0" w:line="240" w:lineRule="auto"/>
      </w:pPr>
      <w:r>
        <w:t>C3. Responsible Practices: demonstrate an understanding of safe, ethical, and responsible personal and interpersonal practices in drama activities.</w:t>
      </w:r>
    </w:p>
    <w:p w:rsidR="00C52954" w:rsidRDefault="00C52954" w:rsidP="00C52954">
      <w:pPr>
        <w:pStyle w:val="Heading1"/>
      </w:pPr>
      <w:r>
        <w:t>Teacher Contact Information</w:t>
      </w:r>
    </w:p>
    <w:p w:rsidR="00C52954" w:rsidRDefault="00C52954" w:rsidP="00C52954">
      <w:pPr>
        <w:spacing w:after="0"/>
      </w:pPr>
      <w:r>
        <w:t>The teacher for this course is Melissa Roe</w:t>
      </w:r>
    </w:p>
    <w:p w:rsidR="00C52954" w:rsidRDefault="00C52954" w:rsidP="00C52954">
      <w:pPr>
        <w:spacing w:after="0"/>
      </w:pPr>
      <w:r>
        <w:t xml:space="preserve">She can be reached at (519) 880 – 9979 x 5060 or </w:t>
      </w:r>
      <w:hyperlink r:id="rId9" w:history="1">
        <w:r w:rsidR="00800961" w:rsidRPr="00116BA9">
          <w:rPr>
            <w:rStyle w:val="Hyperlink"/>
          </w:rPr>
          <w:t>melissa_roe@wrdsb.on.ca</w:t>
        </w:r>
      </w:hyperlink>
    </w:p>
    <w:p w:rsidR="00800961" w:rsidRDefault="00800961" w:rsidP="00C52954">
      <w:pPr>
        <w:spacing w:after="0"/>
      </w:pPr>
      <w:r>
        <w:t>Our class website is: roeyourboat.weebly.com &gt; ADA 3MI</w:t>
      </w:r>
    </w:p>
    <w:p w:rsidR="00C52954" w:rsidRPr="00800961" w:rsidRDefault="00C52954" w:rsidP="00C52954">
      <w:pPr>
        <w:pStyle w:val="Heading1"/>
        <w:rPr>
          <w:rFonts w:asciiTheme="minorHAnsi" w:hAnsiTheme="minorHAnsi"/>
        </w:rPr>
      </w:pPr>
      <w:r w:rsidRPr="00800961">
        <w:rPr>
          <w:rFonts w:asciiTheme="minorHAnsi" w:hAnsiTheme="minorHAnsi"/>
        </w:rPr>
        <w:t>Procedures</w:t>
      </w:r>
    </w:p>
    <w:p w:rsidR="00800961" w:rsidRPr="00800961" w:rsidRDefault="00800961" w:rsidP="00800961">
      <w:pPr>
        <w:tabs>
          <w:tab w:val="left" w:pos="720"/>
        </w:tabs>
        <w:ind w:left="360"/>
        <w:rPr>
          <w:rFonts w:asciiTheme="minorHAnsi" w:hAnsiTheme="minorHAnsi"/>
        </w:rPr>
      </w:pPr>
      <w:r w:rsidRPr="00800961">
        <w:rPr>
          <w:rFonts w:asciiTheme="minorHAnsi" w:hAnsiTheme="minorHAnsi"/>
        </w:rPr>
        <w:t xml:space="preserve">Key values of Sir John A. Macdonald Secondary School and the WRDSB include respect, responsibility, honesty, and trustworthiness.  Our expectations for student behaviour and academic conduct come from these core values.  In accordance with </w:t>
      </w:r>
      <w:r w:rsidRPr="00800961">
        <w:rPr>
          <w:rFonts w:asciiTheme="minorHAnsi" w:hAnsiTheme="minorHAnsi"/>
          <w:b/>
        </w:rPr>
        <w:t>Waterloo Region District School Board</w:t>
      </w:r>
      <w:r w:rsidRPr="00800961">
        <w:rPr>
          <w:rFonts w:asciiTheme="minorHAnsi" w:hAnsiTheme="minorHAnsi"/>
        </w:rPr>
        <w:t xml:space="preserve"> guidelines outlined in </w:t>
      </w:r>
      <w:r w:rsidRPr="00800961">
        <w:rPr>
          <w:rFonts w:asciiTheme="minorHAnsi" w:hAnsiTheme="minorHAnsi"/>
          <w:b/>
        </w:rPr>
        <w:t>the Assessment, Evaluation, and Reporting Handbook</w:t>
      </w:r>
      <w:r w:rsidRPr="00800961">
        <w:rPr>
          <w:rFonts w:asciiTheme="minorHAnsi" w:hAnsiTheme="minorHAnsi"/>
        </w:rPr>
        <w:t>, the following policies are in effect at SJAM:</w:t>
      </w:r>
    </w:p>
    <w:p w:rsidR="00800961" w:rsidRPr="00800961" w:rsidRDefault="00800961" w:rsidP="00800961">
      <w:pPr>
        <w:pStyle w:val="ListParagraph"/>
        <w:numPr>
          <w:ilvl w:val="0"/>
          <w:numId w:val="2"/>
        </w:numPr>
        <w:tabs>
          <w:tab w:val="left" w:pos="720"/>
        </w:tabs>
        <w:rPr>
          <w:rFonts w:asciiTheme="minorHAnsi" w:hAnsiTheme="minorHAnsi"/>
          <w:b/>
        </w:rPr>
      </w:pPr>
      <w:r w:rsidRPr="00800961">
        <w:rPr>
          <w:rFonts w:asciiTheme="minorHAnsi" w:hAnsiTheme="minorHAnsi"/>
          <w:b/>
        </w:rPr>
        <w:t>Late and Missed Assignments</w:t>
      </w:r>
    </w:p>
    <w:p w:rsidR="00800961" w:rsidRPr="00800961" w:rsidRDefault="00800961" w:rsidP="00800961">
      <w:pPr>
        <w:tabs>
          <w:tab w:val="left" w:pos="720"/>
        </w:tabs>
        <w:ind w:left="360"/>
        <w:rPr>
          <w:rFonts w:asciiTheme="minorHAnsi" w:hAnsiTheme="minorHAnsi"/>
          <w:i/>
        </w:rPr>
      </w:pPr>
      <w:r w:rsidRPr="00800961">
        <w:rPr>
          <w:rFonts w:asciiTheme="minorHAnsi" w:hAnsiTheme="minorHAnsi"/>
          <w:i/>
        </w:rPr>
        <w:t>Completing tasks on time has been shown to be a key part of school success. It is the expectation that students will submit all required work by the assigned deadlines.</w:t>
      </w:r>
    </w:p>
    <w:p w:rsidR="00800961" w:rsidRPr="00800961" w:rsidRDefault="00800961" w:rsidP="00800961">
      <w:pPr>
        <w:pStyle w:val="ListParagraph"/>
        <w:numPr>
          <w:ilvl w:val="0"/>
          <w:numId w:val="7"/>
        </w:numPr>
        <w:tabs>
          <w:tab w:val="left" w:pos="720"/>
        </w:tabs>
        <w:ind w:left="1440"/>
        <w:rPr>
          <w:rFonts w:asciiTheme="minorHAnsi" w:hAnsiTheme="minorHAnsi"/>
        </w:rPr>
      </w:pPr>
      <w:r w:rsidRPr="00800961">
        <w:rPr>
          <w:rFonts w:asciiTheme="minorHAnsi" w:hAnsiTheme="minorHAnsi"/>
        </w:rPr>
        <w:lastRenderedPageBreak/>
        <w:t>If work is not submitted on time, next steps will involve student-teacher conferences, parent/guardian contact and may include student referral to in-school supports.</w:t>
      </w:r>
    </w:p>
    <w:p w:rsidR="00800961" w:rsidRPr="00800961" w:rsidRDefault="00800961" w:rsidP="00800961">
      <w:pPr>
        <w:pStyle w:val="ListParagraph"/>
        <w:numPr>
          <w:ilvl w:val="0"/>
          <w:numId w:val="7"/>
        </w:numPr>
        <w:tabs>
          <w:tab w:val="left" w:pos="720"/>
        </w:tabs>
        <w:ind w:left="1440"/>
        <w:rPr>
          <w:rFonts w:asciiTheme="minorHAnsi" w:hAnsiTheme="minorHAnsi"/>
        </w:rPr>
      </w:pPr>
      <w:r w:rsidRPr="00800961">
        <w:rPr>
          <w:rFonts w:asciiTheme="minorHAnsi" w:hAnsiTheme="minorHAnsi"/>
        </w:rPr>
        <w:t>The teacher will determine a date after which he/she will no longer accept an assignment for marks.  In the absence of these student products, teachers will use professional judgement to determine a grade based on evidence of learning available/seen to that point.</w:t>
      </w:r>
    </w:p>
    <w:p w:rsidR="00800961" w:rsidRPr="00800961" w:rsidRDefault="00800961" w:rsidP="00800961">
      <w:pPr>
        <w:pStyle w:val="ListParagraph"/>
        <w:numPr>
          <w:ilvl w:val="0"/>
          <w:numId w:val="7"/>
        </w:numPr>
        <w:tabs>
          <w:tab w:val="left" w:pos="720"/>
        </w:tabs>
        <w:ind w:left="1440"/>
        <w:rPr>
          <w:rFonts w:asciiTheme="minorHAnsi" w:hAnsiTheme="minorHAnsi"/>
        </w:rPr>
      </w:pPr>
      <w:r w:rsidRPr="00800961">
        <w:rPr>
          <w:rFonts w:asciiTheme="minorHAnsi" w:hAnsiTheme="minorHAnsi"/>
        </w:rPr>
        <w:t>If one or more assignments are not completed, students risk losing the credit for the course.</w:t>
      </w:r>
    </w:p>
    <w:p w:rsidR="00800961" w:rsidRPr="00800961" w:rsidRDefault="00800961" w:rsidP="00800961">
      <w:pPr>
        <w:pStyle w:val="ListParagraph"/>
        <w:numPr>
          <w:ilvl w:val="0"/>
          <w:numId w:val="7"/>
        </w:numPr>
        <w:tabs>
          <w:tab w:val="left" w:pos="720"/>
        </w:tabs>
        <w:ind w:left="1440"/>
        <w:rPr>
          <w:rFonts w:asciiTheme="minorHAnsi" w:hAnsiTheme="minorHAnsi"/>
        </w:rPr>
      </w:pPr>
      <w:r w:rsidRPr="00800961">
        <w:rPr>
          <w:rFonts w:asciiTheme="minorHAnsi" w:hAnsiTheme="minorHAnsi"/>
        </w:rPr>
        <w:t>The Learning Skills section of the student’s Provincial Report Card will be used to reflect incidents of late and missed assignments.</w:t>
      </w:r>
    </w:p>
    <w:p w:rsidR="00800961" w:rsidRPr="00800961" w:rsidRDefault="00800961" w:rsidP="00800961">
      <w:pPr>
        <w:pStyle w:val="ListParagraph"/>
        <w:tabs>
          <w:tab w:val="left" w:pos="720"/>
        </w:tabs>
        <w:ind w:left="1440"/>
        <w:rPr>
          <w:rFonts w:asciiTheme="minorHAnsi" w:hAnsiTheme="minorHAnsi"/>
        </w:rPr>
      </w:pPr>
    </w:p>
    <w:p w:rsidR="00800961" w:rsidRPr="00800961" w:rsidRDefault="00800961" w:rsidP="00800961">
      <w:pPr>
        <w:pStyle w:val="ListParagraph"/>
        <w:numPr>
          <w:ilvl w:val="0"/>
          <w:numId w:val="2"/>
        </w:numPr>
        <w:tabs>
          <w:tab w:val="left" w:pos="720"/>
        </w:tabs>
        <w:rPr>
          <w:rFonts w:asciiTheme="minorHAnsi" w:hAnsiTheme="minorHAnsi"/>
          <w:b/>
        </w:rPr>
      </w:pPr>
      <w:r w:rsidRPr="00800961">
        <w:rPr>
          <w:rFonts w:asciiTheme="minorHAnsi" w:hAnsiTheme="minorHAnsi"/>
          <w:b/>
        </w:rPr>
        <w:t>Cheating and Plagiarism</w:t>
      </w:r>
    </w:p>
    <w:p w:rsidR="00800961" w:rsidRPr="00800961" w:rsidRDefault="00800961" w:rsidP="00800961">
      <w:pPr>
        <w:tabs>
          <w:tab w:val="left" w:pos="720"/>
        </w:tabs>
        <w:ind w:left="360"/>
        <w:rPr>
          <w:rFonts w:asciiTheme="minorHAnsi" w:hAnsiTheme="minorHAnsi"/>
        </w:rPr>
      </w:pPr>
      <w:r w:rsidRPr="00800961">
        <w:rPr>
          <w:rFonts w:asciiTheme="minorHAnsi" w:hAnsiTheme="minorHAnsi"/>
          <w:i/>
        </w:rPr>
        <w:t>It is the expectation that students will submit their own, original work for the purpose of demonstrating their learning. Note that plagiarism includes both sharing original work and using work that is not one’s own. In the event that cheating or plagiarism occurs, the following consequences may be implemented, in consultation with administration, depending on the situation:</w:t>
      </w:r>
    </w:p>
    <w:p w:rsidR="00800961" w:rsidRPr="00800961" w:rsidRDefault="00800961" w:rsidP="00800961">
      <w:pPr>
        <w:pStyle w:val="ListParagraph"/>
        <w:numPr>
          <w:ilvl w:val="0"/>
          <w:numId w:val="8"/>
        </w:numPr>
        <w:tabs>
          <w:tab w:val="left" w:pos="720"/>
        </w:tabs>
        <w:rPr>
          <w:rFonts w:asciiTheme="minorHAnsi" w:hAnsiTheme="minorHAnsi"/>
        </w:rPr>
      </w:pPr>
      <w:r w:rsidRPr="00800961">
        <w:rPr>
          <w:rFonts w:asciiTheme="minorHAnsi" w:hAnsiTheme="minorHAnsi"/>
        </w:rPr>
        <w:t xml:space="preserve">The student who plagiarizes will be required to complete the </w:t>
      </w:r>
      <w:r w:rsidRPr="00800961">
        <w:rPr>
          <w:rFonts w:asciiTheme="minorHAnsi" w:hAnsiTheme="minorHAnsi"/>
          <w:i/>
        </w:rPr>
        <w:t>SJAM Academic Honesty Remediation Tutorial</w:t>
      </w:r>
      <w:r w:rsidRPr="00800961">
        <w:rPr>
          <w:rFonts w:asciiTheme="minorHAnsi" w:hAnsiTheme="minorHAnsi"/>
        </w:rPr>
        <w:t>.</w:t>
      </w:r>
    </w:p>
    <w:p w:rsidR="00800961" w:rsidRPr="00800961" w:rsidRDefault="00800961" w:rsidP="00800961">
      <w:pPr>
        <w:pStyle w:val="ListParagraph"/>
        <w:numPr>
          <w:ilvl w:val="0"/>
          <w:numId w:val="8"/>
        </w:numPr>
        <w:tabs>
          <w:tab w:val="left" w:pos="720"/>
        </w:tabs>
        <w:rPr>
          <w:rFonts w:asciiTheme="minorHAnsi" w:hAnsiTheme="minorHAnsi"/>
        </w:rPr>
      </w:pPr>
      <w:r w:rsidRPr="00800961">
        <w:rPr>
          <w:rFonts w:asciiTheme="minorHAnsi" w:hAnsiTheme="minorHAnsi"/>
        </w:rPr>
        <w:t>The student may be required to redo all or part of the assignment or assessment.</w:t>
      </w:r>
    </w:p>
    <w:p w:rsidR="00800961" w:rsidRPr="00800961" w:rsidRDefault="00800961" w:rsidP="00800961">
      <w:pPr>
        <w:pStyle w:val="ListParagraph"/>
        <w:numPr>
          <w:ilvl w:val="0"/>
          <w:numId w:val="8"/>
        </w:numPr>
        <w:tabs>
          <w:tab w:val="left" w:pos="720"/>
        </w:tabs>
        <w:rPr>
          <w:rFonts w:asciiTheme="minorHAnsi" w:hAnsiTheme="minorHAnsi"/>
        </w:rPr>
      </w:pPr>
      <w:r w:rsidRPr="00800961">
        <w:rPr>
          <w:rFonts w:asciiTheme="minorHAnsi" w:hAnsiTheme="minorHAnsi"/>
        </w:rPr>
        <w:t>The student may be required to complete an alternate assignment or assessment.</w:t>
      </w:r>
    </w:p>
    <w:p w:rsidR="00800961" w:rsidRPr="00800961" w:rsidRDefault="00800961" w:rsidP="00800961">
      <w:pPr>
        <w:pStyle w:val="ListParagraph"/>
        <w:numPr>
          <w:ilvl w:val="0"/>
          <w:numId w:val="8"/>
        </w:numPr>
        <w:tabs>
          <w:tab w:val="left" w:pos="720"/>
        </w:tabs>
        <w:rPr>
          <w:rFonts w:asciiTheme="minorHAnsi" w:hAnsiTheme="minorHAnsi"/>
        </w:rPr>
      </w:pPr>
      <w:r w:rsidRPr="00800961">
        <w:rPr>
          <w:rFonts w:asciiTheme="minorHAnsi" w:hAnsiTheme="minorHAnsi"/>
        </w:rPr>
        <w:t>Consequences may include a loss of access to academic awards and scholarship opportunities.</w:t>
      </w:r>
    </w:p>
    <w:p w:rsidR="00800961" w:rsidRPr="00800961" w:rsidRDefault="00800961" w:rsidP="00800961">
      <w:pPr>
        <w:pStyle w:val="ListParagraph"/>
        <w:numPr>
          <w:ilvl w:val="0"/>
          <w:numId w:val="8"/>
        </w:numPr>
        <w:tabs>
          <w:tab w:val="left" w:pos="720"/>
        </w:tabs>
        <w:rPr>
          <w:rFonts w:asciiTheme="minorHAnsi" w:hAnsiTheme="minorHAnsi"/>
        </w:rPr>
      </w:pPr>
      <w:r w:rsidRPr="00800961">
        <w:rPr>
          <w:rFonts w:asciiTheme="minorHAnsi" w:hAnsiTheme="minorHAnsi"/>
        </w:rPr>
        <w:t>Plagiarism will be reflected in the Learning Skills section of the student’s Provincial Report Card.</w:t>
      </w:r>
    </w:p>
    <w:p w:rsidR="00800961" w:rsidRPr="00800961" w:rsidRDefault="00800961" w:rsidP="00800961">
      <w:pPr>
        <w:pStyle w:val="ListParagraph"/>
        <w:numPr>
          <w:ilvl w:val="0"/>
          <w:numId w:val="8"/>
        </w:numPr>
        <w:tabs>
          <w:tab w:val="left" w:pos="720"/>
        </w:tabs>
        <w:rPr>
          <w:rFonts w:asciiTheme="minorHAnsi" w:hAnsiTheme="minorHAnsi"/>
        </w:rPr>
      </w:pPr>
      <w:r w:rsidRPr="00800961">
        <w:rPr>
          <w:rFonts w:asciiTheme="minorHAnsi" w:hAnsiTheme="minorHAnsi"/>
        </w:rPr>
        <w:t xml:space="preserve">Potential disciplinary </w:t>
      </w:r>
      <w:proofErr w:type="gramStart"/>
      <w:r w:rsidRPr="00800961">
        <w:rPr>
          <w:rFonts w:asciiTheme="minorHAnsi" w:hAnsiTheme="minorHAnsi"/>
        </w:rPr>
        <w:t>actions  may</w:t>
      </w:r>
      <w:proofErr w:type="gramEnd"/>
      <w:r w:rsidRPr="00800961">
        <w:rPr>
          <w:rFonts w:asciiTheme="minorHAnsi" w:hAnsiTheme="minorHAnsi"/>
        </w:rPr>
        <w:t xml:space="preserve"> also include suspension.</w:t>
      </w:r>
    </w:p>
    <w:p w:rsidR="00800961" w:rsidRPr="00800961" w:rsidRDefault="00800961" w:rsidP="00800961">
      <w:pPr>
        <w:pStyle w:val="ListParagraph"/>
        <w:tabs>
          <w:tab w:val="left" w:pos="720"/>
        </w:tabs>
        <w:ind w:left="1440"/>
        <w:rPr>
          <w:rFonts w:asciiTheme="minorHAnsi" w:hAnsiTheme="minorHAnsi"/>
        </w:rPr>
      </w:pPr>
    </w:p>
    <w:p w:rsidR="00800961" w:rsidRPr="00800961" w:rsidRDefault="00800961" w:rsidP="00800961">
      <w:pPr>
        <w:pStyle w:val="ListParagraph"/>
        <w:numPr>
          <w:ilvl w:val="0"/>
          <w:numId w:val="2"/>
        </w:numPr>
        <w:tabs>
          <w:tab w:val="left" w:pos="720"/>
        </w:tabs>
        <w:rPr>
          <w:rFonts w:asciiTheme="minorHAnsi" w:hAnsiTheme="minorHAnsi"/>
          <w:b/>
        </w:rPr>
      </w:pPr>
      <w:r w:rsidRPr="00800961">
        <w:rPr>
          <w:rFonts w:asciiTheme="minorHAnsi" w:hAnsiTheme="minorHAnsi"/>
          <w:b/>
        </w:rPr>
        <w:t>Waterloo Region District School Board Policy for Provincial Report Card marks below 50%</w:t>
      </w:r>
    </w:p>
    <w:p w:rsidR="00800961" w:rsidRPr="00800961" w:rsidRDefault="00800961" w:rsidP="00800961">
      <w:pPr>
        <w:autoSpaceDE w:val="0"/>
        <w:autoSpaceDN w:val="0"/>
        <w:adjustRightInd w:val="0"/>
        <w:spacing w:after="0" w:line="240" w:lineRule="auto"/>
        <w:ind w:firstLine="360"/>
        <w:rPr>
          <w:rFonts w:asciiTheme="minorHAnsi" w:hAnsiTheme="minorHAnsi"/>
          <w:color w:val="000000"/>
          <w:lang w:val="en-US"/>
        </w:rPr>
      </w:pPr>
      <w:r w:rsidRPr="00800961">
        <w:rPr>
          <w:rFonts w:asciiTheme="minorHAnsi" w:hAnsiTheme="minorHAnsi"/>
          <w:b/>
          <w:color w:val="000000"/>
          <w:lang w:val="en-US"/>
        </w:rPr>
        <w:t>For grades 11 and 12</w:t>
      </w:r>
      <w:r w:rsidRPr="00800961">
        <w:rPr>
          <w:rFonts w:asciiTheme="minorHAnsi" w:hAnsiTheme="minorHAnsi"/>
          <w:color w:val="000000"/>
          <w:lang w:val="en-US"/>
        </w:rPr>
        <w:t>:</w:t>
      </w:r>
    </w:p>
    <w:p w:rsidR="00800961" w:rsidRPr="00800961" w:rsidRDefault="00800961" w:rsidP="00800961">
      <w:pPr>
        <w:tabs>
          <w:tab w:val="left" w:pos="720"/>
        </w:tabs>
        <w:autoSpaceDE w:val="0"/>
        <w:autoSpaceDN w:val="0"/>
        <w:adjustRightInd w:val="0"/>
        <w:spacing w:after="0" w:line="240" w:lineRule="auto"/>
        <w:ind w:left="360"/>
        <w:rPr>
          <w:rFonts w:asciiTheme="minorHAnsi" w:hAnsiTheme="minorHAnsi"/>
          <w:i/>
          <w:iCs/>
          <w:color w:val="000000"/>
          <w:lang w:val="en-US"/>
        </w:rPr>
      </w:pPr>
      <w:r w:rsidRPr="00800961">
        <w:rPr>
          <w:rFonts w:asciiTheme="minorHAnsi" w:hAnsiTheme="minorHAnsi"/>
          <w:i/>
          <w:iCs/>
          <w:color w:val="000000"/>
          <w:lang w:val="en-US"/>
        </w:rPr>
        <w:t>If a student does not earn the credit for the course, the student’s mark will be reported as follows:</w:t>
      </w:r>
    </w:p>
    <w:p w:rsidR="00800961" w:rsidRPr="00800961" w:rsidRDefault="00800961" w:rsidP="00800961">
      <w:pPr>
        <w:numPr>
          <w:ilvl w:val="0"/>
          <w:numId w:val="9"/>
        </w:numPr>
        <w:tabs>
          <w:tab w:val="left" w:pos="720"/>
        </w:tabs>
        <w:autoSpaceDE w:val="0"/>
        <w:autoSpaceDN w:val="0"/>
        <w:adjustRightInd w:val="0"/>
        <w:spacing w:after="0" w:line="240" w:lineRule="auto"/>
        <w:ind w:left="1440" w:hanging="340"/>
        <w:rPr>
          <w:rFonts w:asciiTheme="minorHAnsi" w:hAnsiTheme="minorHAnsi"/>
          <w:color w:val="000000"/>
          <w:lang w:val="en-US"/>
        </w:rPr>
      </w:pPr>
      <w:proofErr w:type="gramStart"/>
      <w:r w:rsidRPr="00800961">
        <w:rPr>
          <w:rFonts w:asciiTheme="minorHAnsi" w:hAnsiTheme="minorHAnsi"/>
          <w:color w:val="000000"/>
          <w:lang w:val="en-US"/>
        </w:rPr>
        <w:t>a</w:t>
      </w:r>
      <w:proofErr w:type="gramEnd"/>
      <w:r w:rsidRPr="00800961">
        <w:rPr>
          <w:rFonts w:asciiTheme="minorHAnsi" w:hAnsiTheme="minorHAnsi"/>
          <w:color w:val="000000"/>
          <w:lang w:val="en-US"/>
        </w:rPr>
        <w:t xml:space="preserve"> mark in the range of 35-45% only.</w:t>
      </w:r>
    </w:p>
    <w:p w:rsidR="00800961" w:rsidRPr="00800961" w:rsidRDefault="00800961" w:rsidP="00800961">
      <w:pPr>
        <w:tabs>
          <w:tab w:val="left" w:pos="720"/>
        </w:tabs>
        <w:autoSpaceDE w:val="0"/>
        <w:autoSpaceDN w:val="0"/>
        <w:adjustRightInd w:val="0"/>
        <w:spacing w:after="0" w:line="240" w:lineRule="auto"/>
        <w:ind w:left="1080"/>
        <w:rPr>
          <w:rFonts w:asciiTheme="minorHAnsi" w:hAnsiTheme="minorHAnsi"/>
          <w:color w:val="000000"/>
          <w:lang w:val="en-US"/>
        </w:rPr>
      </w:pPr>
      <w:r w:rsidRPr="00800961">
        <w:rPr>
          <w:rFonts w:asciiTheme="minorHAnsi" w:hAnsiTheme="minorHAnsi"/>
          <w:color w:val="000000"/>
          <w:lang w:val="en-US"/>
        </w:rPr>
        <w:t>Or</w:t>
      </w:r>
    </w:p>
    <w:p w:rsidR="00800961" w:rsidRPr="00800961" w:rsidRDefault="00800961" w:rsidP="00800961">
      <w:pPr>
        <w:numPr>
          <w:ilvl w:val="0"/>
          <w:numId w:val="9"/>
        </w:numPr>
        <w:tabs>
          <w:tab w:val="left" w:pos="720"/>
        </w:tabs>
        <w:autoSpaceDE w:val="0"/>
        <w:autoSpaceDN w:val="0"/>
        <w:adjustRightInd w:val="0"/>
        <w:spacing w:after="0" w:line="240" w:lineRule="auto"/>
        <w:ind w:left="1440" w:hanging="340"/>
        <w:rPr>
          <w:rFonts w:asciiTheme="minorHAnsi" w:hAnsiTheme="minorHAnsi"/>
          <w:color w:val="000000"/>
          <w:lang w:val="en-US"/>
        </w:rPr>
      </w:pPr>
      <w:proofErr w:type="gramStart"/>
      <w:r w:rsidRPr="00800961">
        <w:rPr>
          <w:rFonts w:asciiTheme="minorHAnsi" w:hAnsiTheme="minorHAnsi"/>
          <w:color w:val="000000"/>
          <w:lang w:val="en-US"/>
        </w:rPr>
        <w:t>a</w:t>
      </w:r>
      <w:proofErr w:type="gramEnd"/>
      <w:r w:rsidRPr="00800961">
        <w:rPr>
          <w:rFonts w:asciiTheme="minorHAnsi" w:hAnsiTheme="minorHAnsi"/>
          <w:color w:val="000000"/>
          <w:lang w:val="en-US"/>
        </w:rPr>
        <w:t xml:space="preserve"> mark of 0 will be assigned if a student has demonstrated NO evidence of achievement.</w:t>
      </w:r>
    </w:p>
    <w:p w:rsidR="00800961" w:rsidRPr="00800961" w:rsidRDefault="00800961" w:rsidP="00800961">
      <w:pPr>
        <w:autoSpaceDE w:val="0"/>
        <w:autoSpaceDN w:val="0"/>
        <w:adjustRightInd w:val="0"/>
        <w:spacing w:after="0" w:line="240" w:lineRule="auto"/>
        <w:rPr>
          <w:rFonts w:asciiTheme="minorHAnsi" w:hAnsiTheme="minorHAnsi"/>
          <w:color w:val="000000"/>
          <w:lang w:val="en-US"/>
        </w:rPr>
      </w:pPr>
    </w:p>
    <w:p w:rsidR="00800961" w:rsidRPr="00800961" w:rsidRDefault="00800961" w:rsidP="00800961">
      <w:pPr>
        <w:autoSpaceDE w:val="0"/>
        <w:autoSpaceDN w:val="0"/>
        <w:adjustRightInd w:val="0"/>
        <w:spacing w:after="0" w:line="240" w:lineRule="auto"/>
        <w:rPr>
          <w:rFonts w:asciiTheme="minorHAnsi" w:hAnsiTheme="minorHAnsi"/>
          <w:color w:val="000000"/>
          <w:lang w:val="en-US"/>
        </w:rPr>
      </w:pPr>
    </w:p>
    <w:p w:rsidR="00800961" w:rsidRPr="00800961" w:rsidRDefault="00800961" w:rsidP="00800961">
      <w:pPr>
        <w:autoSpaceDE w:val="0"/>
        <w:autoSpaceDN w:val="0"/>
        <w:adjustRightInd w:val="0"/>
        <w:spacing w:after="0" w:line="240" w:lineRule="auto"/>
        <w:ind w:firstLine="360"/>
        <w:rPr>
          <w:rFonts w:asciiTheme="minorHAnsi" w:hAnsiTheme="minorHAnsi"/>
          <w:b/>
          <w:color w:val="000000"/>
          <w:lang w:val="en-US"/>
        </w:rPr>
      </w:pPr>
      <w:r w:rsidRPr="00800961">
        <w:rPr>
          <w:rFonts w:asciiTheme="minorHAnsi" w:hAnsiTheme="minorHAnsi"/>
          <w:b/>
          <w:color w:val="000000"/>
          <w:lang w:val="en-US"/>
        </w:rPr>
        <w:t>For grades 9 and 10:</w:t>
      </w:r>
    </w:p>
    <w:p w:rsidR="00800961" w:rsidRPr="00800961" w:rsidRDefault="00800961" w:rsidP="00800961">
      <w:pPr>
        <w:tabs>
          <w:tab w:val="left" w:pos="720"/>
        </w:tabs>
        <w:autoSpaceDE w:val="0"/>
        <w:autoSpaceDN w:val="0"/>
        <w:adjustRightInd w:val="0"/>
        <w:spacing w:after="0" w:line="240" w:lineRule="auto"/>
        <w:ind w:left="360"/>
        <w:rPr>
          <w:rFonts w:asciiTheme="minorHAnsi" w:hAnsiTheme="minorHAnsi"/>
          <w:i/>
          <w:iCs/>
          <w:color w:val="000000"/>
          <w:lang w:val="en-US"/>
        </w:rPr>
      </w:pPr>
      <w:r w:rsidRPr="00800961">
        <w:rPr>
          <w:rFonts w:asciiTheme="minorHAnsi" w:hAnsiTheme="minorHAnsi"/>
          <w:i/>
          <w:iCs/>
          <w:color w:val="000000"/>
          <w:lang w:val="en-US"/>
        </w:rPr>
        <w:t>If a student does not earn the credit for the course, the student’s mark will be reported as follows:</w:t>
      </w:r>
    </w:p>
    <w:p w:rsidR="00800961" w:rsidRPr="00800961" w:rsidRDefault="00800961" w:rsidP="00800961">
      <w:pPr>
        <w:numPr>
          <w:ilvl w:val="0"/>
          <w:numId w:val="9"/>
        </w:numPr>
        <w:tabs>
          <w:tab w:val="left" w:pos="720"/>
        </w:tabs>
        <w:autoSpaceDE w:val="0"/>
        <w:autoSpaceDN w:val="0"/>
        <w:adjustRightInd w:val="0"/>
        <w:spacing w:after="0" w:line="240" w:lineRule="auto"/>
        <w:ind w:left="1440" w:hanging="340"/>
        <w:rPr>
          <w:rFonts w:asciiTheme="minorHAnsi" w:hAnsiTheme="minorHAnsi"/>
          <w:color w:val="000000"/>
          <w:lang w:val="en-US"/>
        </w:rPr>
      </w:pPr>
      <w:proofErr w:type="gramStart"/>
      <w:r w:rsidRPr="00800961">
        <w:rPr>
          <w:rFonts w:asciiTheme="minorHAnsi" w:hAnsiTheme="minorHAnsi"/>
          <w:color w:val="000000"/>
          <w:lang w:val="en-US"/>
        </w:rPr>
        <w:t>a</w:t>
      </w:r>
      <w:proofErr w:type="gramEnd"/>
      <w:r w:rsidRPr="00800961">
        <w:rPr>
          <w:rFonts w:asciiTheme="minorHAnsi" w:hAnsiTheme="minorHAnsi"/>
          <w:color w:val="000000"/>
          <w:lang w:val="en-US"/>
        </w:rPr>
        <w:t xml:space="preserve"> mark of 45%.</w:t>
      </w:r>
    </w:p>
    <w:p w:rsidR="00800961" w:rsidRPr="00800961" w:rsidRDefault="00800961" w:rsidP="00800961">
      <w:pPr>
        <w:tabs>
          <w:tab w:val="left" w:pos="720"/>
        </w:tabs>
        <w:autoSpaceDE w:val="0"/>
        <w:autoSpaceDN w:val="0"/>
        <w:adjustRightInd w:val="0"/>
        <w:spacing w:after="0" w:line="240" w:lineRule="auto"/>
        <w:ind w:left="1080"/>
        <w:rPr>
          <w:rFonts w:asciiTheme="minorHAnsi" w:hAnsiTheme="minorHAnsi"/>
          <w:color w:val="000000"/>
          <w:lang w:val="en-US"/>
        </w:rPr>
      </w:pPr>
      <w:r w:rsidRPr="00800961">
        <w:rPr>
          <w:rFonts w:asciiTheme="minorHAnsi" w:hAnsiTheme="minorHAnsi"/>
          <w:color w:val="000000"/>
          <w:lang w:val="en-US"/>
        </w:rPr>
        <w:t>Or</w:t>
      </w:r>
    </w:p>
    <w:p w:rsidR="00800961" w:rsidRPr="00800961" w:rsidRDefault="00800961" w:rsidP="00800961">
      <w:pPr>
        <w:pStyle w:val="ListParagraph"/>
        <w:numPr>
          <w:ilvl w:val="0"/>
          <w:numId w:val="10"/>
        </w:numPr>
        <w:tabs>
          <w:tab w:val="left" w:pos="720"/>
        </w:tabs>
        <w:autoSpaceDE w:val="0"/>
        <w:autoSpaceDN w:val="0"/>
        <w:adjustRightInd w:val="0"/>
        <w:spacing w:after="0" w:line="240" w:lineRule="auto"/>
        <w:ind w:left="1440"/>
        <w:rPr>
          <w:rFonts w:asciiTheme="minorHAnsi" w:hAnsiTheme="minorHAnsi"/>
          <w:color w:val="000000"/>
          <w:lang w:val="en-US"/>
        </w:rPr>
      </w:pPr>
      <w:proofErr w:type="gramStart"/>
      <w:r w:rsidRPr="00800961">
        <w:rPr>
          <w:rFonts w:asciiTheme="minorHAnsi" w:hAnsiTheme="minorHAnsi"/>
          <w:color w:val="000000"/>
          <w:lang w:val="en-US"/>
        </w:rPr>
        <w:t>an</w:t>
      </w:r>
      <w:proofErr w:type="gramEnd"/>
      <w:r w:rsidRPr="00800961">
        <w:rPr>
          <w:rFonts w:asciiTheme="minorHAnsi" w:hAnsiTheme="minorHAnsi"/>
          <w:color w:val="000000"/>
          <w:lang w:val="en-US"/>
        </w:rPr>
        <w:t xml:space="preserve"> "I" for insufficient evidence.</w:t>
      </w:r>
    </w:p>
    <w:p w:rsidR="00C52954" w:rsidRDefault="00C52954" w:rsidP="00C52954">
      <w:pPr>
        <w:pStyle w:val="Heading1"/>
      </w:pPr>
      <w:r>
        <w:t>Agreement</w:t>
      </w:r>
    </w:p>
    <w:p w:rsidR="00C52954" w:rsidRDefault="00C52954" w:rsidP="00C52954">
      <w:r>
        <w:t>Please print your name and sign below indicating you have read and understand the requirements for successful completion of this course.</w:t>
      </w:r>
    </w:p>
    <w:tbl>
      <w:tblPr>
        <w:tblW w:w="9828" w:type="dxa"/>
        <w:tblLook w:val="00A0" w:firstRow="1" w:lastRow="0" w:firstColumn="1" w:lastColumn="0" w:noHBand="0" w:noVBand="0"/>
      </w:tblPr>
      <w:tblGrid>
        <w:gridCol w:w="4338"/>
        <w:gridCol w:w="900"/>
        <w:gridCol w:w="4590"/>
      </w:tblGrid>
      <w:tr w:rsidR="00C52954" w:rsidRPr="00816A67" w:rsidTr="0033501D">
        <w:tc>
          <w:tcPr>
            <w:tcW w:w="4338" w:type="dxa"/>
            <w:tcBorders>
              <w:bottom w:val="single" w:sz="4" w:space="0" w:color="auto"/>
            </w:tcBorders>
          </w:tcPr>
          <w:p w:rsidR="00C52954" w:rsidRPr="00816A67" w:rsidRDefault="00C52954" w:rsidP="0033501D">
            <w:pPr>
              <w:spacing w:after="0" w:line="240" w:lineRule="auto"/>
              <w:rPr>
                <w:sz w:val="24"/>
                <w:szCs w:val="24"/>
              </w:rPr>
            </w:pPr>
          </w:p>
        </w:tc>
        <w:tc>
          <w:tcPr>
            <w:tcW w:w="900" w:type="dxa"/>
          </w:tcPr>
          <w:p w:rsidR="00C52954" w:rsidRPr="00816A67" w:rsidRDefault="00C52954" w:rsidP="0033501D">
            <w:pPr>
              <w:spacing w:after="0" w:line="240" w:lineRule="auto"/>
              <w:rPr>
                <w:sz w:val="24"/>
                <w:szCs w:val="24"/>
              </w:rPr>
            </w:pPr>
          </w:p>
        </w:tc>
        <w:tc>
          <w:tcPr>
            <w:tcW w:w="4590" w:type="dxa"/>
            <w:tcBorders>
              <w:bottom w:val="single" w:sz="4" w:space="0" w:color="auto"/>
            </w:tcBorders>
          </w:tcPr>
          <w:p w:rsidR="00C52954" w:rsidRPr="00816A67" w:rsidRDefault="00C52954" w:rsidP="0033501D">
            <w:pPr>
              <w:spacing w:after="0" w:line="240" w:lineRule="auto"/>
              <w:rPr>
                <w:sz w:val="24"/>
                <w:szCs w:val="24"/>
              </w:rPr>
            </w:pPr>
          </w:p>
        </w:tc>
      </w:tr>
      <w:tr w:rsidR="00C52954" w:rsidRPr="000E2E1E" w:rsidTr="0033501D">
        <w:tc>
          <w:tcPr>
            <w:tcW w:w="4338" w:type="dxa"/>
            <w:tcBorders>
              <w:top w:val="single" w:sz="4" w:space="0" w:color="auto"/>
            </w:tcBorders>
          </w:tcPr>
          <w:p w:rsidR="00C52954" w:rsidRPr="000E2E1E" w:rsidRDefault="00C52954" w:rsidP="0033501D">
            <w:pPr>
              <w:spacing w:after="0" w:line="240" w:lineRule="auto"/>
            </w:pPr>
            <w:r w:rsidRPr="000E2E1E">
              <w:lastRenderedPageBreak/>
              <w:t>Student</w:t>
            </w:r>
            <w:r>
              <w:t xml:space="preserve"> Name</w:t>
            </w:r>
          </w:p>
        </w:tc>
        <w:tc>
          <w:tcPr>
            <w:tcW w:w="900" w:type="dxa"/>
          </w:tcPr>
          <w:p w:rsidR="00C52954" w:rsidRPr="000E2E1E" w:rsidRDefault="00C52954" w:rsidP="0033501D">
            <w:pPr>
              <w:spacing w:after="0" w:line="240" w:lineRule="auto"/>
            </w:pPr>
          </w:p>
        </w:tc>
        <w:tc>
          <w:tcPr>
            <w:tcW w:w="4590" w:type="dxa"/>
            <w:tcBorders>
              <w:top w:val="single" w:sz="4" w:space="0" w:color="auto"/>
            </w:tcBorders>
          </w:tcPr>
          <w:p w:rsidR="00C52954" w:rsidRPr="000E2E1E" w:rsidRDefault="00C52954" w:rsidP="0033501D">
            <w:pPr>
              <w:spacing w:after="0" w:line="240" w:lineRule="auto"/>
            </w:pPr>
            <w:r w:rsidRPr="000E2E1E">
              <w:t>Parent/Guardian</w:t>
            </w:r>
            <w:r>
              <w:t xml:space="preserve"> Name</w:t>
            </w:r>
          </w:p>
        </w:tc>
      </w:tr>
      <w:tr w:rsidR="00C52954" w:rsidRPr="00816A67" w:rsidTr="0033501D">
        <w:tc>
          <w:tcPr>
            <w:tcW w:w="4338" w:type="dxa"/>
            <w:tcBorders>
              <w:bottom w:val="single" w:sz="4" w:space="0" w:color="auto"/>
            </w:tcBorders>
          </w:tcPr>
          <w:p w:rsidR="00C52954" w:rsidRPr="00816A67" w:rsidRDefault="00C52954" w:rsidP="0033501D">
            <w:pPr>
              <w:spacing w:after="0" w:line="240" w:lineRule="auto"/>
              <w:rPr>
                <w:sz w:val="24"/>
                <w:szCs w:val="24"/>
              </w:rPr>
            </w:pPr>
          </w:p>
        </w:tc>
        <w:tc>
          <w:tcPr>
            <w:tcW w:w="900" w:type="dxa"/>
          </w:tcPr>
          <w:p w:rsidR="00C52954" w:rsidRPr="00816A67" w:rsidRDefault="00C52954" w:rsidP="0033501D">
            <w:pPr>
              <w:spacing w:after="0" w:line="240" w:lineRule="auto"/>
              <w:rPr>
                <w:sz w:val="24"/>
                <w:szCs w:val="24"/>
              </w:rPr>
            </w:pPr>
          </w:p>
        </w:tc>
        <w:tc>
          <w:tcPr>
            <w:tcW w:w="4590" w:type="dxa"/>
            <w:tcBorders>
              <w:bottom w:val="single" w:sz="4" w:space="0" w:color="auto"/>
            </w:tcBorders>
          </w:tcPr>
          <w:p w:rsidR="00C52954" w:rsidRPr="00816A67" w:rsidRDefault="00C52954" w:rsidP="0033501D">
            <w:pPr>
              <w:spacing w:after="0" w:line="240" w:lineRule="auto"/>
              <w:rPr>
                <w:sz w:val="24"/>
                <w:szCs w:val="24"/>
              </w:rPr>
            </w:pPr>
          </w:p>
        </w:tc>
      </w:tr>
      <w:tr w:rsidR="00C52954" w:rsidRPr="000E2E1E" w:rsidTr="0033501D">
        <w:tc>
          <w:tcPr>
            <w:tcW w:w="4338" w:type="dxa"/>
            <w:tcBorders>
              <w:top w:val="single" w:sz="4" w:space="0" w:color="auto"/>
            </w:tcBorders>
          </w:tcPr>
          <w:p w:rsidR="00C52954" w:rsidRPr="000E2E1E" w:rsidRDefault="00C52954" w:rsidP="0033501D">
            <w:pPr>
              <w:spacing w:after="0" w:line="240" w:lineRule="auto"/>
            </w:pPr>
            <w:r w:rsidRPr="000E2E1E">
              <w:t>Student</w:t>
            </w:r>
            <w:r>
              <w:t xml:space="preserve"> Signature</w:t>
            </w:r>
          </w:p>
        </w:tc>
        <w:tc>
          <w:tcPr>
            <w:tcW w:w="900" w:type="dxa"/>
          </w:tcPr>
          <w:p w:rsidR="00C52954" w:rsidRPr="000E2E1E" w:rsidRDefault="00C52954" w:rsidP="0033501D">
            <w:pPr>
              <w:spacing w:after="0" w:line="240" w:lineRule="auto"/>
            </w:pPr>
          </w:p>
        </w:tc>
        <w:tc>
          <w:tcPr>
            <w:tcW w:w="4590" w:type="dxa"/>
            <w:tcBorders>
              <w:top w:val="single" w:sz="4" w:space="0" w:color="auto"/>
            </w:tcBorders>
          </w:tcPr>
          <w:p w:rsidR="00C52954" w:rsidRPr="000E2E1E" w:rsidRDefault="00C52954" w:rsidP="0033501D">
            <w:pPr>
              <w:spacing w:after="0" w:line="240" w:lineRule="auto"/>
            </w:pPr>
            <w:r w:rsidRPr="000E2E1E">
              <w:t>Parent/Guardian</w:t>
            </w:r>
            <w:r>
              <w:t xml:space="preserve"> Signature</w:t>
            </w:r>
          </w:p>
        </w:tc>
      </w:tr>
      <w:tr w:rsidR="00C52954" w:rsidRPr="00816A67" w:rsidTr="0033501D">
        <w:tc>
          <w:tcPr>
            <w:tcW w:w="4338" w:type="dxa"/>
            <w:tcBorders>
              <w:bottom w:val="single" w:sz="4" w:space="0" w:color="auto"/>
            </w:tcBorders>
          </w:tcPr>
          <w:p w:rsidR="00C52954" w:rsidRPr="00816A67" w:rsidRDefault="00C52954" w:rsidP="0033501D">
            <w:pPr>
              <w:spacing w:after="0" w:line="240" w:lineRule="auto"/>
              <w:rPr>
                <w:sz w:val="24"/>
                <w:szCs w:val="24"/>
              </w:rPr>
            </w:pPr>
          </w:p>
        </w:tc>
        <w:tc>
          <w:tcPr>
            <w:tcW w:w="900" w:type="dxa"/>
          </w:tcPr>
          <w:p w:rsidR="00C52954" w:rsidRPr="00816A67" w:rsidRDefault="00C52954" w:rsidP="0033501D">
            <w:pPr>
              <w:spacing w:after="0" w:line="240" w:lineRule="auto"/>
              <w:rPr>
                <w:sz w:val="24"/>
                <w:szCs w:val="24"/>
              </w:rPr>
            </w:pPr>
          </w:p>
        </w:tc>
        <w:tc>
          <w:tcPr>
            <w:tcW w:w="4590" w:type="dxa"/>
            <w:tcBorders>
              <w:bottom w:val="single" w:sz="4" w:space="0" w:color="auto"/>
            </w:tcBorders>
          </w:tcPr>
          <w:p w:rsidR="00C52954" w:rsidRPr="00816A67" w:rsidRDefault="00C52954" w:rsidP="0033501D">
            <w:pPr>
              <w:spacing w:after="0" w:line="240" w:lineRule="auto"/>
              <w:rPr>
                <w:sz w:val="24"/>
                <w:szCs w:val="24"/>
              </w:rPr>
            </w:pPr>
          </w:p>
        </w:tc>
      </w:tr>
      <w:tr w:rsidR="00C52954" w:rsidRPr="000E2E1E" w:rsidTr="0033501D">
        <w:tc>
          <w:tcPr>
            <w:tcW w:w="4338" w:type="dxa"/>
            <w:tcBorders>
              <w:top w:val="single" w:sz="4" w:space="0" w:color="auto"/>
            </w:tcBorders>
          </w:tcPr>
          <w:p w:rsidR="00C52954" w:rsidRPr="000E2E1E" w:rsidRDefault="00C52954" w:rsidP="0033501D">
            <w:pPr>
              <w:spacing w:after="0" w:line="240" w:lineRule="auto"/>
            </w:pPr>
            <w:r w:rsidRPr="000E2E1E">
              <w:t>Date</w:t>
            </w:r>
          </w:p>
        </w:tc>
        <w:tc>
          <w:tcPr>
            <w:tcW w:w="900" w:type="dxa"/>
          </w:tcPr>
          <w:p w:rsidR="00C52954" w:rsidRPr="000E2E1E" w:rsidRDefault="00C52954" w:rsidP="0033501D">
            <w:pPr>
              <w:spacing w:after="0" w:line="240" w:lineRule="auto"/>
            </w:pPr>
          </w:p>
        </w:tc>
        <w:tc>
          <w:tcPr>
            <w:tcW w:w="4590" w:type="dxa"/>
            <w:tcBorders>
              <w:top w:val="single" w:sz="4" w:space="0" w:color="auto"/>
            </w:tcBorders>
          </w:tcPr>
          <w:p w:rsidR="00C52954" w:rsidRPr="000E2E1E" w:rsidRDefault="00C52954" w:rsidP="0033501D">
            <w:pPr>
              <w:spacing w:after="0" w:line="240" w:lineRule="auto"/>
            </w:pPr>
            <w:r w:rsidRPr="000E2E1E">
              <w:t>Date</w:t>
            </w:r>
          </w:p>
        </w:tc>
      </w:tr>
      <w:tr w:rsidR="00C52954" w:rsidRPr="00816A67" w:rsidTr="0033501D">
        <w:tc>
          <w:tcPr>
            <w:tcW w:w="4338" w:type="dxa"/>
            <w:tcBorders>
              <w:bottom w:val="single" w:sz="2" w:space="0" w:color="auto"/>
            </w:tcBorders>
          </w:tcPr>
          <w:p w:rsidR="00C52954" w:rsidRPr="00816A67" w:rsidRDefault="00C52954" w:rsidP="0033501D">
            <w:pPr>
              <w:spacing w:after="0" w:line="240" w:lineRule="auto"/>
              <w:rPr>
                <w:sz w:val="24"/>
                <w:szCs w:val="24"/>
              </w:rPr>
            </w:pPr>
          </w:p>
        </w:tc>
        <w:tc>
          <w:tcPr>
            <w:tcW w:w="900" w:type="dxa"/>
          </w:tcPr>
          <w:p w:rsidR="00C52954" w:rsidRPr="00816A67" w:rsidRDefault="00C52954" w:rsidP="0033501D">
            <w:pPr>
              <w:spacing w:after="0" w:line="240" w:lineRule="auto"/>
              <w:rPr>
                <w:sz w:val="24"/>
                <w:szCs w:val="24"/>
              </w:rPr>
            </w:pPr>
          </w:p>
        </w:tc>
        <w:tc>
          <w:tcPr>
            <w:tcW w:w="4590" w:type="dxa"/>
            <w:tcBorders>
              <w:bottom w:val="single" w:sz="4" w:space="0" w:color="auto"/>
            </w:tcBorders>
          </w:tcPr>
          <w:p w:rsidR="00C52954" w:rsidRPr="00816A67" w:rsidRDefault="00C52954" w:rsidP="0033501D">
            <w:pPr>
              <w:spacing w:after="0" w:line="240" w:lineRule="auto"/>
              <w:rPr>
                <w:sz w:val="24"/>
                <w:szCs w:val="24"/>
              </w:rPr>
            </w:pPr>
          </w:p>
        </w:tc>
      </w:tr>
      <w:tr w:rsidR="00C52954" w:rsidRPr="000E2E1E" w:rsidTr="0033501D">
        <w:tc>
          <w:tcPr>
            <w:tcW w:w="4338" w:type="dxa"/>
            <w:tcBorders>
              <w:top w:val="single" w:sz="2" w:space="0" w:color="auto"/>
              <w:left w:val="single" w:sz="2" w:space="0" w:color="auto"/>
              <w:right w:val="single" w:sz="2" w:space="0" w:color="auto"/>
            </w:tcBorders>
          </w:tcPr>
          <w:p w:rsidR="00C52954" w:rsidRPr="000E2E1E" w:rsidRDefault="00C52954" w:rsidP="0033501D">
            <w:pPr>
              <w:spacing w:after="0" w:line="240" w:lineRule="auto"/>
            </w:pPr>
            <w:r>
              <w:t>Preferred Method of Contact</w:t>
            </w:r>
          </w:p>
        </w:tc>
        <w:tc>
          <w:tcPr>
            <w:tcW w:w="900" w:type="dxa"/>
            <w:tcBorders>
              <w:left w:val="single" w:sz="2" w:space="0" w:color="auto"/>
            </w:tcBorders>
          </w:tcPr>
          <w:p w:rsidR="00C52954" w:rsidRPr="000E2E1E" w:rsidRDefault="00C52954" w:rsidP="0033501D">
            <w:pPr>
              <w:spacing w:after="0" w:line="240" w:lineRule="auto"/>
            </w:pPr>
          </w:p>
        </w:tc>
        <w:tc>
          <w:tcPr>
            <w:tcW w:w="4590" w:type="dxa"/>
            <w:tcBorders>
              <w:top w:val="single" w:sz="4" w:space="0" w:color="auto"/>
            </w:tcBorders>
          </w:tcPr>
          <w:p w:rsidR="00C52954" w:rsidRPr="000E2E1E" w:rsidRDefault="00C52954" w:rsidP="0033501D">
            <w:pPr>
              <w:spacing w:after="0" w:line="240" w:lineRule="auto"/>
            </w:pPr>
            <w:r>
              <w:t>Daytime phone number</w:t>
            </w:r>
          </w:p>
        </w:tc>
      </w:tr>
      <w:tr w:rsidR="00C52954" w:rsidRPr="000E2E1E" w:rsidTr="0033501D">
        <w:tc>
          <w:tcPr>
            <w:tcW w:w="4338" w:type="dxa"/>
            <w:tcBorders>
              <w:left w:val="single" w:sz="2" w:space="0" w:color="auto"/>
              <w:right w:val="single" w:sz="2" w:space="0" w:color="auto"/>
            </w:tcBorders>
          </w:tcPr>
          <w:p w:rsidR="00C52954" w:rsidRPr="000E2E1E" w:rsidRDefault="00C52954" w:rsidP="00C52954">
            <w:pPr>
              <w:numPr>
                <w:ilvl w:val="0"/>
                <w:numId w:val="6"/>
              </w:numPr>
              <w:spacing w:after="0" w:line="240" w:lineRule="auto"/>
            </w:pPr>
            <w:r>
              <w:t>Phone</w:t>
            </w:r>
          </w:p>
        </w:tc>
        <w:tc>
          <w:tcPr>
            <w:tcW w:w="900" w:type="dxa"/>
            <w:tcBorders>
              <w:left w:val="single" w:sz="2" w:space="0" w:color="auto"/>
            </w:tcBorders>
          </w:tcPr>
          <w:p w:rsidR="00C52954" w:rsidRPr="000E2E1E" w:rsidRDefault="00C52954" w:rsidP="0033501D">
            <w:pPr>
              <w:spacing w:after="0" w:line="240" w:lineRule="auto"/>
            </w:pPr>
          </w:p>
        </w:tc>
        <w:tc>
          <w:tcPr>
            <w:tcW w:w="4590" w:type="dxa"/>
            <w:tcBorders>
              <w:bottom w:val="single" w:sz="4" w:space="0" w:color="auto"/>
            </w:tcBorders>
          </w:tcPr>
          <w:p w:rsidR="00C52954" w:rsidRDefault="00C52954" w:rsidP="0033501D">
            <w:pPr>
              <w:spacing w:after="0" w:line="240" w:lineRule="auto"/>
            </w:pPr>
          </w:p>
        </w:tc>
      </w:tr>
      <w:tr w:rsidR="00C52954" w:rsidRPr="000E2E1E" w:rsidTr="0033501D">
        <w:tc>
          <w:tcPr>
            <w:tcW w:w="4338" w:type="dxa"/>
            <w:tcBorders>
              <w:left w:val="single" w:sz="2" w:space="0" w:color="auto"/>
              <w:bottom w:val="single" w:sz="2" w:space="0" w:color="auto"/>
              <w:right w:val="single" w:sz="2" w:space="0" w:color="auto"/>
            </w:tcBorders>
          </w:tcPr>
          <w:p w:rsidR="00C52954" w:rsidRPr="000E2E1E" w:rsidRDefault="00C52954" w:rsidP="00C52954">
            <w:pPr>
              <w:numPr>
                <w:ilvl w:val="0"/>
                <w:numId w:val="6"/>
              </w:numPr>
              <w:spacing w:after="0" w:line="240" w:lineRule="auto"/>
            </w:pPr>
            <w:r>
              <w:t>Email</w:t>
            </w:r>
          </w:p>
        </w:tc>
        <w:tc>
          <w:tcPr>
            <w:tcW w:w="900" w:type="dxa"/>
            <w:tcBorders>
              <w:left w:val="single" w:sz="2" w:space="0" w:color="auto"/>
            </w:tcBorders>
          </w:tcPr>
          <w:p w:rsidR="00C52954" w:rsidRPr="000E2E1E" w:rsidRDefault="00C52954" w:rsidP="0033501D">
            <w:pPr>
              <w:spacing w:after="0" w:line="240" w:lineRule="auto"/>
            </w:pPr>
          </w:p>
        </w:tc>
        <w:tc>
          <w:tcPr>
            <w:tcW w:w="4590" w:type="dxa"/>
            <w:tcBorders>
              <w:top w:val="single" w:sz="4" w:space="0" w:color="auto"/>
            </w:tcBorders>
          </w:tcPr>
          <w:p w:rsidR="00C52954" w:rsidRDefault="00C52954" w:rsidP="0033501D">
            <w:pPr>
              <w:spacing w:after="0" w:line="240" w:lineRule="auto"/>
            </w:pPr>
            <w:r>
              <w:t>Email (Please provide if possible)</w:t>
            </w:r>
          </w:p>
        </w:tc>
      </w:tr>
    </w:tbl>
    <w:p w:rsidR="00C52954" w:rsidRPr="00816A67" w:rsidRDefault="00C52954" w:rsidP="00C52954">
      <w:pPr>
        <w:spacing w:after="0"/>
        <w:rPr>
          <w:b/>
          <w:sz w:val="4"/>
          <w:szCs w:val="4"/>
        </w:rPr>
      </w:pPr>
    </w:p>
    <w:p w:rsidR="00A355EF" w:rsidRDefault="00A355EF"/>
    <w:sectPr w:rsidR="00A355EF" w:rsidSect="007F364D">
      <w:headerReference w:type="default" r:id="rId10"/>
      <w:footerReference w:type="default" r:id="rId11"/>
      <w:pgSz w:w="12240" w:h="15840"/>
      <w:pgMar w:top="450" w:right="1267" w:bottom="1080" w:left="1267" w:header="435" w:footer="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954" w:rsidRDefault="00C52954" w:rsidP="00C52954">
      <w:pPr>
        <w:spacing w:after="0" w:line="240" w:lineRule="auto"/>
      </w:pPr>
      <w:r>
        <w:separator/>
      </w:r>
    </w:p>
  </w:endnote>
  <w:endnote w:type="continuationSeparator" w:id="0">
    <w:p w:rsidR="00C52954" w:rsidRDefault="00C52954" w:rsidP="00C5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EE" w:rsidRDefault="00C52954" w:rsidP="000E2E1E">
    <w:pPr>
      <w:pStyle w:val="Footer"/>
      <w:pBdr>
        <w:top w:val="single" w:sz="12" w:space="1" w:color="4F81BD"/>
      </w:pBdr>
      <w:tabs>
        <w:tab w:val="clear" w:pos="4680"/>
        <w:tab w:val="clear" w:pos="9360"/>
        <w:tab w:val="right" w:pos="9706"/>
      </w:tabs>
      <w:rPr>
        <w:rFonts w:ascii="Cambria" w:hAnsi="Cambria"/>
      </w:rPr>
    </w:pPr>
    <w:r>
      <w:rPr>
        <w:rFonts w:ascii="Cambria" w:hAnsi="Cambria"/>
      </w:rPr>
      <w:t>02/01/14</w:t>
    </w:r>
    <w:r w:rsidR="008F428E">
      <w:rPr>
        <w:rFonts w:ascii="Cambria" w:hAnsi="Cambria"/>
      </w:rPr>
      <w:tab/>
      <w:t xml:space="preserve">Page </w:t>
    </w:r>
    <w:r w:rsidR="008F428E">
      <w:fldChar w:fldCharType="begin"/>
    </w:r>
    <w:r w:rsidR="008F428E">
      <w:instrText xml:space="preserve"> PAGE   \* MERGEFORMAT </w:instrText>
    </w:r>
    <w:r w:rsidR="008F428E">
      <w:fldChar w:fldCharType="separate"/>
    </w:r>
    <w:r w:rsidR="00EF04DA" w:rsidRPr="00EF04DA">
      <w:rPr>
        <w:rFonts w:ascii="Cambria" w:hAnsi="Cambria"/>
        <w:noProof/>
      </w:rPr>
      <w:t>3</w:t>
    </w:r>
    <w:r w:rsidR="008F428E">
      <w:rPr>
        <w:rFonts w:ascii="Cambria" w:hAnsi="Cambria"/>
        <w:noProof/>
      </w:rPr>
      <w:fldChar w:fldCharType="end"/>
    </w:r>
    <w:r w:rsidR="008F428E">
      <w:rPr>
        <w:rFonts w:ascii="Cambria" w:hAnsi="Cambria"/>
        <w:noProof/>
      </w:rPr>
      <w:t xml:space="preserve"> of </w:t>
    </w:r>
    <w:fldSimple w:instr=" NUMPAGES  \* Arabic  \* MERGEFORMAT ">
      <w:r w:rsidR="00EF04DA" w:rsidRPr="00EF04DA">
        <w:rPr>
          <w:rFonts w:ascii="Cambria" w:hAnsi="Cambria"/>
          <w:noProof/>
        </w:rPr>
        <w:t>4</w:t>
      </w:r>
    </w:fldSimple>
    <w:r w:rsidR="008F428E">
      <w:rPr>
        <w:rFonts w:ascii="Cambria" w:hAnsi="Cambria"/>
        <w:noProof/>
      </w:rPr>
      <w:t xml:space="preserve"> </w:t>
    </w:r>
  </w:p>
  <w:p w:rsidR="003C65EE" w:rsidRDefault="00EF0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954" w:rsidRDefault="00C52954" w:rsidP="00C52954">
      <w:pPr>
        <w:spacing w:after="0" w:line="240" w:lineRule="auto"/>
      </w:pPr>
      <w:r>
        <w:separator/>
      </w:r>
    </w:p>
  </w:footnote>
  <w:footnote w:type="continuationSeparator" w:id="0">
    <w:p w:rsidR="00C52954" w:rsidRDefault="00C52954" w:rsidP="00C52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EE" w:rsidRPr="007F364D" w:rsidRDefault="00C52954" w:rsidP="007F364D">
    <w:pPr>
      <w:pStyle w:val="Header"/>
      <w:pBdr>
        <w:bottom w:val="single" w:sz="12" w:space="1" w:color="4F81BD"/>
      </w:pBdr>
      <w:rPr>
        <w:b/>
        <w:sz w:val="26"/>
        <w:szCs w:val="26"/>
      </w:rPr>
    </w:pPr>
    <w:r>
      <w:rPr>
        <w:b/>
        <w:sz w:val="26"/>
        <w:szCs w:val="26"/>
      </w:rPr>
      <w:t>Grade 11</w:t>
    </w:r>
    <w:r w:rsidR="008F428E">
      <w:rPr>
        <w:b/>
        <w:sz w:val="26"/>
        <w:szCs w:val="26"/>
      </w:rPr>
      <w:t xml:space="preserve"> Drama</w:t>
    </w:r>
    <w:r w:rsidR="008F428E" w:rsidRPr="007F364D">
      <w:rPr>
        <w:b/>
        <w:sz w:val="26"/>
        <w:szCs w:val="26"/>
      </w:rPr>
      <w:t xml:space="preserve"> Course Outline</w:t>
    </w:r>
  </w:p>
  <w:p w:rsidR="003C65EE" w:rsidRPr="007F364D" w:rsidRDefault="00EF04DA" w:rsidP="007F364D">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Symbol" w:hAnsi="Symbol" w:cs="Symbol"/>
        <w:color w:val="000000"/>
        <w:sz w:val="20"/>
        <w:szCs w:val="20"/>
      </w:rPr>
    </w:lvl>
  </w:abstractNum>
  <w:abstractNum w:abstractNumId="1">
    <w:nsid w:val="0E452FC8"/>
    <w:multiLevelType w:val="hybridMultilevel"/>
    <w:tmpl w:val="71DEF40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nsid w:val="22857B64"/>
    <w:multiLevelType w:val="hybridMultilevel"/>
    <w:tmpl w:val="F64EC080"/>
    <w:lvl w:ilvl="0" w:tplc="10090017">
      <w:start w:val="1"/>
      <w:numFmt w:val="lowerLetter"/>
      <w:lvlText w:val="%1)"/>
      <w:lvlJc w:val="left"/>
      <w:pPr>
        <w:ind w:left="720" w:hanging="360"/>
      </w:pPr>
      <w:rPr>
        <w:rFonts w:cs="Times New Roman" w:hint="default"/>
      </w:rPr>
    </w:lvl>
    <w:lvl w:ilvl="1" w:tplc="1009001B">
      <w:start w:val="1"/>
      <w:numFmt w:val="lowerRoman"/>
      <w:lvlText w:val="%2."/>
      <w:lvlJc w:val="righ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2C9631A4"/>
    <w:multiLevelType w:val="hybridMultilevel"/>
    <w:tmpl w:val="2CAC0E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38FB308F"/>
    <w:multiLevelType w:val="hybridMultilevel"/>
    <w:tmpl w:val="342CD970"/>
    <w:lvl w:ilvl="0" w:tplc="2D161F3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D6B7119"/>
    <w:multiLevelType w:val="hybridMultilevel"/>
    <w:tmpl w:val="AF6C434C"/>
    <w:lvl w:ilvl="0" w:tplc="10090017">
      <w:start w:val="1"/>
      <w:numFmt w:val="lowerLetter"/>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43067F8F"/>
    <w:multiLevelType w:val="hybridMultilevel"/>
    <w:tmpl w:val="D7C2B396"/>
    <w:lvl w:ilvl="0" w:tplc="1009001B">
      <w:start w:val="1"/>
      <w:numFmt w:val="lowerRoman"/>
      <w:lvlText w:val="%1."/>
      <w:lvlJc w:val="righ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7">
    <w:nsid w:val="50621094"/>
    <w:multiLevelType w:val="hybridMultilevel"/>
    <w:tmpl w:val="D226AE20"/>
    <w:lvl w:ilvl="0" w:tplc="FB62895A">
      <w:start w:val="110"/>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A524701"/>
    <w:multiLevelType w:val="hybridMultilevel"/>
    <w:tmpl w:val="183AED46"/>
    <w:lvl w:ilvl="0" w:tplc="2D161F3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3910348"/>
    <w:multiLevelType w:val="hybridMultilevel"/>
    <w:tmpl w:val="0FC07F22"/>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4"/>
  </w:num>
  <w:num w:numId="6">
    <w:abstractNumId w:val="8"/>
  </w:num>
  <w:num w:numId="7">
    <w:abstractNumId w:val="9"/>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954"/>
    <w:rsid w:val="00800961"/>
    <w:rsid w:val="008F428E"/>
    <w:rsid w:val="00A355EF"/>
    <w:rsid w:val="00A92BB8"/>
    <w:rsid w:val="00C52954"/>
    <w:rsid w:val="00EF04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954"/>
    <w:pPr>
      <w:spacing w:after="200"/>
    </w:pPr>
    <w:rPr>
      <w:rFonts w:ascii="Calibri" w:eastAsia="Calibri" w:hAnsi="Calibri" w:cs="Times New Roman"/>
    </w:rPr>
  </w:style>
  <w:style w:type="paragraph" w:styleId="Heading1">
    <w:name w:val="heading 1"/>
    <w:basedOn w:val="Normal"/>
    <w:next w:val="Normal"/>
    <w:link w:val="Heading1Char"/>
    <w:uiPriority w:val="99"/>
    <w:qFormat/>
    <w:rsid w:val="00C5295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52954"/>
    <w:rPr>
      <w:rFonts w:ascii="Cambria" w:eastAsia="Times New Roman" w:hAnsi="Cambria" w:cs="Times New Roman"/>
      <w:b/>
      <w:bCs/>
      <w:color w:val="365F91"/>
      <w:sz w:val="28"/>
      <w:szCs w:val="28"/>
    </w:rPr>
  </w:style>
  <w:style w:type="paragraph" w:styleId="Title">
    <w:name w:val="Title"/>
    <w:basedOn w:val="Normal"/>
    <w:next w:val="Normal"/>
    <w:link w:val="TitleChar"/>
    <w:uiPriority w:val="99"/>
    <w:qFormat/>
    <w:rsid w:val="00C5295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C52954"/>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C52954"/>
    <w:pPr>
      <w:ind w:left="720"/>
      <w:contextualSpacing/>
    </w:pPr>
  </w:style>
  <w:style w:type="paragraph" w:styleId="Header">
    <w:name w:val="header"/>
    <w:basedOn w:val="Normal"/>
    <w:link w:val="HeaderChar"/>
    <w:uiPriority w:val="99"/>
    <w:rsid w:val="00C52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954"/>
    <w:rPr>
      <w:rFonts w:ascii="Calibri" w:eastAsia="Calibri" w:hAnsi="Calibri" w:cs="Times New Roman"/>
    </w:rPr>
  </w:style>
  <w:style w:type="paragraph" w:styleId="Footer">
    <w:name w:val="footer"/>
    <w:basedOn w:val="Normal"/>
    <w:link w:val="FooterChar"/>
    <w:uiPriority w:val="99"/>
    <w:rsid w:val="00C52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954"/>
    <w:rPr>
      <w:rFonts w:ascii="Calibri" w:eastAsia="Calibri" w:hAnsi="Calibri" w:cs="Times New Roman"/>
    </w:rPr>
  </w:style>
  <w:style w:type="character" w:styleId="Hyperlink">
    <w:name w:val="Hyperlink"/>
    <w:basedOn w:val="DefaultParagraphFont"/>
    <w:uiPriority w:val="99"/>
    <w:unhideWhenUsed/>
    <w:rsid w:val="00800961"/>
    <w:rPr>
      <w:color w:val="0000FF" w:themeColor="hyperlink"/>
      <w:u w:val="single"/>
    </w:rPr>
  </w:style>
  <w:style w:type="paragraph" w:styleId="BalloonText">
    <w:name w:val="Balloon Text"/>
    <w:basedOn w:val="Normal"/>
    <w:link w:val="BalloonTextChar"/>
    <w:uiPriority w:val="99"/>
    <w:semiHidden/>
    <w:unhideWhenUsed/>
    <w:rsid w:val="00EF0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4D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954"/>
    <w:pPr>
      <w:spacing w:after="200"/>
    </w:pPr>
    <w:rPr>
      <w:rFonts w:ascii="Calibri" w:eastAsia="Calibri" w:hAnsi="Calibri" w:cs="Times New Roman"/>
    </w:rPr>
  </w:style>
  <w:style w:type="paragraph" w:styleId="Heading1">
    <w:name w:val="heading 1"/>
    <w:basedOn w:val="Normal"/>
    <w:next w:val="Normal"/>
    <w:link w:val="Heading1Char"/>
    <w:uiPriority w:val="99"/>
    <w:qFormat/>
    <w:rsid w:val="00C5295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52954"/>
    <w:rPr>
      <w:rFonts w:ascii="Cambria" w:eastAsia="Times New Roman" w:hAnsi="Cambria" w:cs="Times New Roman"/>
      <w:b/>
      <w:bCs/>
      <w:color w:val="365F91"/>
      <w:sz w:val="28"/>
      <w:szCs w:val="28"/>
    </w:rPr>
  </w:style>
  <w:style w:type="paragraph" w:styleId="Title">
    <w:name w:val="Title"/>
    <w:basedOn w:val="Normal"/>
    <w:next w:val="Normal"/>
    <w:link w:val="TitleChar"/>
    <w:uiPriority w:val="99"/>
    <w:qFormat/>
    <w:rsid w:val="00C5295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C52954"/>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C52954"/>
    <w:pPr>
      <w:ind w:left="720"/>
      <w:contextualSpacing/>
    </w:pPr>
  </w:style>
  <w:style w:type="paragraph" w:styleId="Header">
    <w:name w:val="header"/>
    <w:basedOn w:val="Normal"/>
    <w:link w:val="HeaderChar"/>
    <w:uiPriority w:val="99"/>
    <w:rsid w:val="00C52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954"/>
    <w:rPr>
      <w:rFonts w:ascii="Calibri" w:eastAsia="Calibri" w:hAnsi="Calibri" w:cs="Times New Roman"/>
    </w:rPr>
  </w:style>
  <w:style w:type="paragraph" w:styleId="Footer">
    <w:name w:val="footer"/>
    <w:basedOn w:val="Normal"/>
    <w:link w:val="FooterChar"/>
    <w:uiPriority w:val="99"/>
    <w:rsid w:val="00C52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954"/>
    <w:rPr>
      <w:rFonts w:ascii="Calibri" w:eastAsia="Calibri" w:hAnsi="Calibri" w:cs="Times New Roman"/>
    </w:rPr>
  </w:style>
  <w:style w:type="character" w:styleId="Hyperlink">
    <w:name w:val="Hyperlink"/>
    <w:basedOn w:val="DefaultParagraphFont"/>
    <w:uiPriority w:val="99"/>
    <w:unhideWhenUsed/>
    <w:rsid w:val="00800961"/>
    <w:rPr>
      <w:color w:val="0000FF" w:themeColor="hyperlink"/>
      <w:u w:val="single"/>
    </w:rPr>
  </w:style>
  <w:style w:type="paragraph" w:styleId="BalloonText">
    <w:name w:val="Balloon Text"/>
    <w:basedOn w:val="Normal"/>
    <w:link w:val="BalloonTextChar"/>
    <w:uiPriority w:val="99"/>
    <w:semiHidden/>
    <w:unhideWhenUsed/>
    <w:rsid w:val="00EF0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4D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lissa_roe@wrdsb.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3</cp:revision>
  <cp:lastPrinted>2014-08-28T20:49:00Z</cp:lastPrinted>
  <dcterms:created xsi:type="dcterms:W3CDTF">2014-08-28T20:49:00Z</dcterms:created>
  <dcterms:modified xsi:type="dcterms:W3CDTF">2014-08-28T20:56:00Z</dcterms:modified>
</cp:coreProperties>
</file>